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207010</wp:posOffset>
            </wp:positionH>
            <wp:positionV relativeFrom="page">
              <wp:posOffset>1115695</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1081405</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66"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UNITED STATES</w:t>
      </w:r>
    </w:p>
    <w:p>
      <w:pPr>
        <w:spacing w:after="0" w:line="32"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SECURITIES AND EXCHANGE COMMISSION</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2704465</wp:posOffset>
            </wp:positionH>
            <wp:positionV relativeFrom="paragraph">
              <wp:posOffset>111760</wp:posOffset>
            </wp:positionV>
            <wp:extent cx="19437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43735" cy="8255"/>
                    </a:xfrm>
                    <a:prstGeom prst="rect">
                      <a:avLst/>
                    </a:prstGeom>
                    <a:noFill/>
                  </pic:spPr>
                </pic:pic>
              </a:graphicData>
            </a:graphic>
          </wp:anchor>
        </w:drawing>
      </w:r>
    </w:p>
    <w:p>
      <w:pPr>
        <w:spacing w:after="0" w:line="353"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2704465</wp:posOffset>
            </wp:positionH>
            <wp:positionV relativeFrom="paragraph">
              <wp:posOffset>116840</wp:posOffset>
            </wp:positionV>
            <wp:extent cx="19437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43735" cy="8255"/>
                    </a:xfrm>
                    <a:prstGeom prst="rect">
                      <a:avLst/>
                    </a:prstGeom>
                    <a:noFill/>
                  </pic:spPr>
                </pic:pic>
              </a:graphicData>
            </a:graphic>
          </wp:anchor>
        </w:drawing>
      </w: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1" w:lineRule="exact"/>
        <w:rPr>
          <w:sz w:val="24"/>
          <w:szCs w:val="24"/>
          <w:color w:val="auto"/>
        </w:rPr>
      </w:pPr>
    </w:p>
    <w:p>
      <w:pPr>
        <w:ind w:left="980" w:hanging="638"/>
        <w:spacing w:after="0"/>
        <w:tabs>
          <w:tab w:leader="none" w:pos="980" w:val="left"/>
        </w:tabs>
        <w:numPr>
          <w:ilvl w:val="0"/>
          <w:numId w:val="1"/>
        </w:numPr>
        <w:rPr>
          <w:rFonts w:ascii="MS PGothic" w:cs="MS PGothic" w:eastAsia="MS PGothic" w:hAnsi="MS PGothic"/>
          <w:sz w:val="19"/>
          <w:szCs w:val="19"/>
          <w:color w:val="auto"/>
        </w:rPr>
      </w:pPr>
      <w:r>
        <w:rPr>
          <w:rFonts w:ascii="Arial" w:cs="Arial" w:eastAsia="Arial" w:hAnsi="Arial"/>
          <w:sz w:val="18"/>
          <w:szCs w:val="18"/>
          <w:color w:val="auto"/>
        </w:rPr>
        <w:t>QUARTERLY REPORT PURSUANT TO SECTION 13 OR 15(d) OF THE SECURITIES EXCHANGE ACT OF 1934</w:t>
      </w:r>
    </w:p>
    <w:p>
      <w:pPr>
        <w:spacing w:after="0" w:line="10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color w:val="auto"/>
        </w:rPr>
        <w:t>March 29, 2025</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OR</w:t>
      </w:r>
    </w:p>
    <w:p>
      <w:pPr>
        <w:spacing w:after="0" w:line="135" w:lineRule="exact"/>
        <w:rPr>
          <w:sz w:val="24"/>
          <w:szCs w:val="24"/>
          <w:color w:val="auto"/>
        </w:rPr>
      </w:pPr>
    </w:p>
    <w:p>
      <w:pPr>
        <w:ind w:left="980" w:hanging="638"/>
        <w:spacing w:after="0"/>
        <w:tabs>
          <w:tab w:leader="none" w:pos="980" w:val="left"/>
        </w:tabs>
        <w:numPr>
          <w:ilvl w:val="0"/>
          <w:numId w:val="2"/>
        </w:numPr>
        <w:rPr>
          <w:rFonts w:ascii="MS PGothic" w:cs="MS PGothic" w:eastAsia="MS PGothic" w:hAnsi="MS PGothic"/>
          <w:sz w:val="19"/>
          <w:szCs w:val="19"/>
          <w:color w:val="auto"/>
        </w:rPr>
      </w:pPr>
      <w:r>
        <w:rPr>
          <w:rFonts w:ascii="Arial" w:cs="Arial" w:eastAsia="Arial" w:hAnsi="Arial"/>
          <w:sz w:val="18"/>
          <w:szCs w:val="18"/>
          <w:color w:val="auto"/>
        </w:rPr>
        <w:t>TRANSITION REPORT PURSUANT TO SECTION 13 OR 15(d) OF THE SECURITIES EXCHANGE ACT OF 1934</w:t>
      </w:r>
    </w:p>
    <w:p>
      <w:pPr>
        <w:spacing w:after="0" w:line="124" w:lineRule="exact"/>
        <w:rPr>
          <w:sz w:val="24"/>
          <w:szCs w:val="24"/>
          <w:color w:val="auto"/>
        </w:rPr>
      </w:pPr>
    </w:p>
    <w:p>
      <w:pPr>
        <w:ind w:left="3880"/>
        <w:spacing w:after="0"/>
        <w:tabs>
          <w:tab w:leader="none" w:pos="720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8"/>
          <w:szCs w:val="18"/>
          <w:color w:val="auto"/>
        </w:rPr>
        <w:t>to</w:t>
      </w:r>
    </w:p>
    <w:p>
      <w:pPr>
        <w:spacing w:after="0" w:line="21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Commission File Number: 001-38879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2418715</wp:posOffset>
            </wp:positionH>
            <wp:positionV relativeFrom="paragraph">
              <wp:posOffset>114935</wp:posOffset>
            </wp:positionV>
            <wp:extent cx="2313940" cy="1270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13940" cy="12706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BEYOND MEAT, INC.</w:t>
      </w:r>
    </w:p>
    <w:p>
      <w:pPr>
        <w:spacing w:after="0" w:line="2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2704465</wp:posOffset>
            </wp:positionH>
            <wp:positionV relativeFrom="paragraph">
              <wp:posOffset>104775</wp:posOffset>
            </wp:positionV>
            <wp:extent cx="19437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43735" cy="8255"/>
                    </a:xfrm>
                    <a:prstGeom prst="rect">
                      <a:avLst/>
                    </a:prstGeom>
                    <a:noFill/>
                  </pic:spPr>
                </pic:pic>
              </a:graphicData>
            </a:graphic>
          </wp:anchor>
        </w:drawing>
      </w:r>
    </w:p>
    <w:p>
      <w:pPr>
        <w:spacing w:after="0" w:line="272" w:lineRule="exact"/>
        <w:rPr>
          <w:sz w:val="24"/>
          <w:szCs w:val="24"/>
          <w:color w:val="auto"/>
        </w:rPr>
      </w:pPr>
    </w:p>
    <w:tbl>
      <w:tblPr>
        <w:tblLayout w:type="fixed"/>
        <w:tblInd w:w="1980" w:type="dxa"/>
        <w:tblCellMar>
          <w:top w:w="0" w:type="dxa"/>
          <w:left w:w="0" w:type="dxa"/>
          <w:bottom w:w="0" w:type="dxa"/>
          <w:right w:w="0" w:type="dxa"/>
        </w:tblCellMar>
      </w:tblPr>
      <w:tr>
        <w:trPr>
          <w:trHeight w:val="227"/>
        </w:trPr>
        <w:tc>
          <w:tcPr>
            <w:tcW w:w="4040" w:type="dxa"/>
            <w:vAlign w:val="bottom"/>
          </w:tcPr>
          <w:p>
            <w:pPr>
              <w:jc w:val="center"/>
              <w:ind w:right="1652"/>
              <w:spacing w:after="0"/>
              <w:rPr>
                <w:sz w:val="20"/>
                <w:szCs w:val="20"/>
                <w:color w:val="auto"/>
              </w:rPr>
            </w:pPr>
            <w:r>
              <w:rPr>
                <w:rFonts w:ascii="Arial" w:cs="Arial" w:eastAsia="Arial" w:hAnsi="Arial"/>
                <w:sz w:val="18"/>
                <w:szCs w:val="18"/>
                <w:b w:val="1"/>
                <w:bCs w:val="1"/>
                <w:color w:val="auto"/>
                <w:w w:val="98"/>
              </w:rPr>
              <w:t>Delaware</w:t>
            </w:r>
          </w:p>
        </w:tc>
        <w:tc>
          <w:tcPr>
            <w:tcW w:w="3100" w:type="dxa"/>
            <w:vAlign w:val="bottom"/>
          </w:tcPr>
          <w:p>
            <w:pPr>
              <w:jc w:val="center"/>
              <w:ind w:left="1632"/>
              <w:spacing w:after="0"/>
              <w:rPr>
                <w:sz w:val="20"/>
                <w:szCs w:val="20"/>
                <w:color w:val="auto"/>
              </w:rPr>
            </w:pPr>
            <w:r>
              <w:rPr>
                <w:rFonts w:ascii="Arial" w:cs="Arial" w:eastAsia="Arial" w:hAnsi="Arial"/>
                <w:sz w:val="18"/>
                <w:szCs w:val="18"/>
                <w:b w:val="1"/>
                <w:bCs w:val="1"/>
                <w:color w:val="auto"/>
                <w:w w:val="97"/>
              </w:rPr>
              <w:t>26-4087597</w:t>
            </w:r>
          </w:p>
        </w:tc>
      </w:tr>
      <w:tr>
        <w:trPr>
          <w:trHeight w:val="176"/>
        </w:trPr>
        <w:tc>
          <w:tcPr>
            <w:tcW w:w="4040" w:type="dxa"/>
            <w:vAlign w:val="bottom"/>
          </w:tcPr>
          <w:p>
            <w:pPr>
              <w:jc w:val="center"/>
              <w:ind w:right="1652"/>
              <w:spacing w:after="0" w:line="176" w:lineRule="exact"/>
              <w:rPr>
                <w:sz w:val="20"/>
                <w:szCs w:val="20"/>
                <w:color w:val="auto"/>
              </w:rPr>
            </w:pPr>
            <w:r>
              <w:rPr>
                <w:rFonts w:ascii="Arial" w:cs="Arial" w:eastAsia="Arial" w:hAnsi="Arial"/>
                <w:sz w:val="18"/>
                <w:szCs w:val="18"/>
                <w:color w:val="auto"/>
                <w:w w:val="98"/>
              </w:rPr>
              <w:t>(State or other jurisdiction of</w:t>
            </w:r>
          </w:p>
        </w:tc>
        <w:tc>
          <w:tcPr>
            <w:tcW w:w="3100" w:type="dxa"/>
            <w:vAlign w:val="bottom"/>
          </w:tcPr>
          <w:p>
            <w:pPr>
              <w:jc w:val="center"/>
              <w:ind w:left="1632"/>
              <w:spacing w:after="0" w:line="176" w:lineRule="exact"/>
              <w:rPr>
                <w:sz w:val="20"/>
                <w:szCs w:val="20"/>
                <w:color w:val="auto"/>
              </w:rPr>
            </w:pPr>
            <w:r>
              <w:rPr>
                <w:rFonts w:ascii="Arial" w:cs="Arial" w:eastAsia="Arial" w:hAnsi="Arial"/>
                <w:sz w:val="18"/>
                <w:szCs w:val="18"/>
                <w:color w:val="auto"/>
                <w:w w:val="98"/>
              </w:rPr>
              <w:t>(I.R.S. Employer</w:t>
            </w:r>
          </w:p>
        </w:tc>
      </w:tr>
      <w:tr>
        <w:trPr>
          <w:trHeight w:val="232"/>
        </w:trPr>
        <w:tc>
          <w:tcPr>
            <w:tcW w:w="4040" w:type="dxa"/>
            <w:vAlign w:val="bottom"/>
          </w:tcPr>
          <w:p>
            <w:pPr>
              <w:jc w:val="center"/>
              <w:ind w:right="1652"/>
              <w:spacing w:after="0"/>
              <w:rPr>
                <w:sz w:val="20"/>
                <w:szCs w:val="20"/>
                <w:color w:val="auto"/>
              </w:rPr>
            </w:pPr>
            <w:r>
              <w:rPr>
                <w:rFonts w:ascii="Arial" w:cs="Arial" w:eastAsia="Arial" w:hAnsi="Arial"/>
                <w:sz w:val="18"/>
                <w:szCs w:val="18"/>
                <w:color w:val="auto"/>
                <w:w w:val="98"/>
              </w:rPr>
              <w:t>incorporation or organization)</w:t>
            </w:r>
          </w:p>
        </w:tc>
        <w:tc>
          <w:tcPr>
            <w:tcW w:w="3100" w:type="dxa"/>
            <w:vAlign w:val="bottom"/>
          </w:tcPr>
          <w:p>
            <w:pPr>
              <w:jc w:val="center"/>
              <w:ind w:left="1632"/>
              <w:spacing w:after="0"/>
              <w:rPr>
                <w:sz w:val="20"/>
                <w:szCs w:val="20"/>
                <w:color w:val="auto"/>
              </w:rPr>
            </w:pPr>
            <w:r>
              <w:rPr>
                <w:rFonts w:ascii="Arial" w:cs="Arial" w:eastAsia="Arial" w:hAnsi="Arial"/>
                <w:sz w:val="18"/>
                <w:szCs w:val="18"/>
                <w:color w:val="auto"/>
                <w:w w:val="98"/>
              </w:rPr>
              <w:t>Identification No.)</w:t>
            </w:r>
          </w:p>
        </w:tc>
      </w:tr>
    </w:tbl>
    <w:p>
      <w:pPr>
        <w:spacing w:after="0" w:line="319"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888 N. Douglas Street, Suite 100</w:t>
      </w:r>
    </w:p>
    <w:p>
      <w:pPr>
        <w:spacing w:after="0" w:line="58" w:lineRule="exact"/>
        <w:rPr>
          <w:sz w:val="24"/>
          <w:szCs w:val="24"/>
          <w:color w:val="auto"/>
        </w:rPr>
      </w:pPr>
    </w:p>
    <w:p>
      <w:pPr>
        <w:ind w:left="4860"/>
        <w:spacing w:after="0"/>
        <w:rPr>
          <w:sz w:val="20"/>
          <w:szCs w:val="20"/>
          <w:color w:val="auto"/>
        </w:rPr>
      </w:pPr>
      <w:r>
        <w:rPr>
          <w:rFonts w:ascii="Arial" w:cs="Arial" w:eastAsia="Arial" w:hAnsi="Arial"/>
          <w:sz w:val="18"/>
          <w:szCs w:val="18"/>
          <w:b w:val="1"/>
          <w:bCs w:val="1"/>
          <w:color w:val="auto"/>
        </w:rPr>
        <w:t>El Segundo, CA 90245</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33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(866) 756-4112</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7" w:lineRule="exact"/>
        <w:rPr>
          <w:sz w:val="24"/>
          <w:szCs w:val="24"/>
          <w:color w:val="auto"/>
        </w:rPr>
      </w:pPr>
    </w:p>
    <w:tbl>
      <w:tblPr>
        <w:tblLayout w:type="fixed"/>
        <w:tblInd w:w="160" w:type="dxa"/>
        <w:tblCellMar>
          <w:top w:w="0" w:type="dxa"/>
          <w:left w:w="0" w:type="dxa"/>
          <w:bottom w:w="0" w:type="dxa"/>
          <w:right w:w="0" w:type="dxa"/>
        </w:tblCellMar>
      </w:tblPr>
      <w:tr>
        <w:trPr>
          <w:trHeight w:val="161"/>
        </w:trPr>
        <w:tc>
          <w:tcPr>
            <w:tcW w:w="432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9"/>
              </w:rPr>
              <w:t>Title of each class</w:t>
            </w:r>
          </w:p>
        </w:tc>
        <w:tc>
          <w:tcPr>
            <w:tcW w:w="2420" w:type="dxa"/>
            <w:vAlign w:val="bottom"/>
            <w:gridSpan w:val="2"/>
          </w:tcPr>
          <w:p>
            <w:pPr>
              <w:jc w:val="center"/>
              <w:ind w:right="140"/>
              <w:spacing w:after="0"/>
              <w:rPr>
                <w:sz w:val="20"/>
                <w:szCs w:val="20"/>
                <w:color w:val="auto"/>
              </w:rPr>
            </w:pPr>
            <w:r>
              <w:rPr>
                <w:rFonts w:ascii="Arial" w:cs="Arial" w:eastAsia="Arial" w:hAnsi="Arial"/>
                <w:sz w:val="14"/>
                <w:szCs w:val="14"/>
                <w:color w:val="auto"/>
              </w:rPr>
              <w:t>Trading</w:t>
            </w:r>
          </w:p>
        </w:tc>
        <w:tc>
          <w:tcPr>
            <w:tcW w:w="4200" w:type="dxa"/>
            <w:vAlign w:val="bottom"/>
            <w:vMerge w:val="restart"/>
          </w:tcPr>
          <w:p>
            <w:pPr>
              <w:jc w:val="center"/>
              <w:spacing w:after="0"/>
              <w:rPr>
                <w:sz w:val="20"/>
                <w:szCs w:val="20"/>
                <w:color w:val="auto"/>
              </w:rPr>
            </w:pPr>
            <w:r>
              <w:rPr>
                <w:rFonts w:ascii="Arial" w:cs="Arial" w:eastAsia="Arial" w:hAnsi="Arial"/>
                <w:sz w:val="14"/>
                <w:szCs w:val="14"/>
                <w:color w:val="auto"/>
              </w:rPr>
              <w:t>Name of each exchange on which registered</w:t>
            </w:r>
          </w:p>
        </w:tc>
        <w:tc>
          <w:tcPr>
            <w:tcW w:w="0" w:type="dxa"/>
            <w:vAlign w:val="bottom"/>
          </w:tcPr>
          <w:p>
            <w:pPr>
              <w:spacing w:after="0"/>
              <w:rPr>
                <w:sz w:val="1"/>
                <w:szCs w:val="1"/>
                <w:color w:val="auto"/>
              </w:rPr>
            </w:pPr>
          </w:p>
        </w:tc>
      </w:tr>
      <w:tr>
        <w:trPr>
          <w:trHeight w:val="182"/>
        </w:trPr>
        <w:tc>
          <w:tcPr>
            <w:tcW w:w="4320" w:type="dxa"/>
            <w:vAlign w:val="bottom"/>
            <w:gridSpan w:val="2"/>
            <w:vMerge w:val="continue"/>
          </w:tcPr>
          <w:p>
            <w:pPr>
              <w:spacing w:after="0"/>
              <w:rPr>
                <w:sz w:val="15"/>
                <w:szCs w:val="15"/>
                <w:color w:val="auto"/>
              </w:rPr>
            </w:pPr>
          </w:p>
        </w:tc>
        <w:tc>
          <w:tcPr>
            <w:tcW w:w="2420" w:type="dxa"/>
            <w:vAlign w:val="bottom"/>
            <w:gridSpan w:val="2"/>
          </w:tcPr>
          <w:p>
            <w:pPr>
              <w:jc w:val="center"/>
              <w:ind w:right="140"/>
              <w:spacing w:after="0"/>
              <w:rPr>
                <w:sz w:val="20"/>
                <w:szCs w:val="20"/>
                <w:color w:val="auto"/>
              </w:rPr>
            </w:pPr>
            <w:r>
              <w:rPr>
                <w:rFonts w:ascii="Arial" w:cs="Arial" w:eastAsia="Arial" w:hAnsi="Arial"/>
                <w:sz w:val="14"/>
                <w:szCs w:val="14"/>
                <w:color w:val="auto"/>
              </w:rPr>
              <w:t>Symbol(s)</w:t>
            </w:r>
          </w:p>
        </w:tc>
        <w:tc>
          <w:tcPr>
            <w:tcW w:w="4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1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Common Stock, $0.0001 par value</w:t>
            </w:r>
          </w:p>
        </w:tc>
        <w:tc>
          <w:tcPr>
            <w:tcW w:w="160" w:type="dxa"/>
            <w:vAlign w:val="bottom"/>
          </w:tcPr>
          <w:p>
            <w:pPr>
              <w:spacing w:after="0"/>
              <w:rPr>
                <w:sz w:val="20"/>
                <w:szCs w:val="20"/>
                <w:color w:val="auto"/>
              </w:rPr>
            </w:pPr>
          </w:p>
        </w:tc>
        <w:tc>
          <w:tcPr>
            <w:tcW w:w="22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BYND</w:t>
            </w:r>
          </w:p>
        </w:tc>
        <w:tc>
          <w:tcPr>
            <w:tcW w:w="140" w:type="dxa"/>
            <w:vAlign w:val="bottom"/>
          </w:tcPr>
          <w:p>
            <w:pPr>
              <w:spacing w:after="0"/>
              <w:rPr>
                <w:sz w:val="20"/>
                <w:szCs w:val="20"/>
                <w:color w:val="auto"/>
              </w:rPr>
            </w:pPr>
          </w:p>
        </w:tc>
        <w:tc>
          <w:tcPr>
            <w:tcW w:w="42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The Nasdaq Stock Market LLC</w:t>
            </w:r>
          </w:p>
        </w:tc>
        <w:tc>
          <w:tcPr>
            <w:tcW w:w="0" w:type="dxa"/>
            <w:vAlign w:val="bottom"/>
          </w:tcPr>
          <w:p>
            <w:pPr>
              <w:spacing w:after="0"/>
              <w:rPr>
                <w:sz w:val="1"/>
                <w:szCs w:val="1"/>
                <w:color w:val="auto"/>
              </w:rPr>
            </w:pPr>
          </w:p>
        </w:tc>
      </w:tr>
    </w:tbl>
    <w:p>
      <w:pPr>
        <w:spacing w:after="0" w:line="71" w:lineRule="exact"/>
        <w:rPr>
          <w:sz w:val="24"/>
          <w:szCs w:val="24"/>
          <w:color w:val="auto"/>
        </w:rPr>
      </w:pPr>
    </w:p>
    <w:p>
      <w:pPr>
        <w:ind w:firstLine="318"/>
        <w:spacing w:after="0" w:line="27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690880</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 w:name="page2"/>
    <w:bookmarkEnd w:id="1"/>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registrant was required to file such reports), and (2) has been subject to such filing requirements for the past 90</w:t>
      </w:r>
    </w:p>
    <w:p>
      <w:pPr>
        <w:spacing w:after="0" w:line="14" w:lineRule="exact"/>
        <w:rPr>
          <w:sz w:val="20"/>
          <w:szCs w:val="20"/>
          <w:color w:val="auto"/>
        </w:rPr>
      </w:pPr>
    </w:p>
    <w:p>
      <w:pPr>
        <w:spacing w:after="0" w:line="219" w:lineRule="exact"/>
        <w:tabs>
          <w:tab w:leader="none" w:pos="2760" w:val="left"/>
          <w:tab w:leader="none" w:pos="3520" w:val="left"/>
          <w:tab w:leader="none" w:pos="3900" w:val="left"/>
        </w:tabs>
        <w:rPr>
          <w:sz w:val="20"/>
          <w:szCs w:val="20"/>
          <w:color w:val="auto"/>
        </w:rPr>
      </w:pPr>
      <w:r>
        <w:rPr>
          <w:rFonts w:ascii="Arial" w:cs="Arial" w:eastAsia="Arial" w:hAnsi="Arial"/>
          <w:sz w:val="18"/>
          <w:szCs w:val="18"/>
          <w:color w:val="auto"/>
        </w:rPr>
        <w:t>days.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9"/>
          <w:szCs w:val="19"/>
          <w:color w:val="auto"/>
        </w:rPr>
        <w:t>☒</w:t>
      </w:r>
      <w:r>
        <w:rPr>
          <w:rFonts w:ascii="Arial" w:cs="Arial" w:eastAsia="Arial" w:hAnsi="Arial"/>
          <w:sz w:val="18"/>
          <w:szCs w:val="18"/>
          <w:color w:val="auto"/>
        </w:rPr>
        <w:tab/>
        <w:t>No</w:t>
      </w:r>
      <w:r>
        <w:rPr>
          <w:sz w:val="20"/>
          <w:szCs w:val="20"/>
          <w:color w:val="auto"/>
        </w:rPr>
        <w:tab/>
      </w:r>
      <w:r>
        <w:rPr>
          <w:rFonts w:ascii="MS PGothic" w:cs="MS PGothic" w:eastAsia="MS PGothic" w:hAnsi="MS PGothic"/>
          <w:sz w:val="16"/>
          <w:szCs w:val="16"/>
          <w:color w:val="auto"/>
        </w:rPr>
        <w:t>☐</w:t>
      </w:r>
    </w:p>
    <w:p>
      <w:pPr>
        <w:spacing w:after="0" w:line="223" w:lineRule="exact"/>
        <w:rPr>
          <w:sz w:val="20"/>
          <w:szCs w:val="20"/>
          <w:color w:val="auto"/>
        </w:rPr>
      </w:pPr>
    </w:p>
    <w:p>
      <w:pPr>
        <w:ind w:right="40" w:firstLine="318"/>
        <w:spacing w:after="0" w:line="234"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9"/>
          <w:szCs w:val="19"/>
          <w:color w:val="auto"/>
        </w:rPr>
        <w:t>☒</w:t>
      </w:r>
      <w:r>
        <w:rPr>
          <w:rFonts w:ascii="Arial" w:cs="Arial" w:eastAsia="Arial" w:hAnsi="Arial"/>
          <w:sz w:val="18"/>
          <w:szCs w:val="18"/>
          <w:color w:val="auto"/>
        </w:rPr>
        <w:t xml:space="preserve"> No </w:t>
      </w:r>
      <w:r>
        <w:rPr>
          <w:rFonts w:ascii="MS PGothic" w:cs="MS PGothic" w:eastAsia="MS PGothic" w:hAnsi="MS PGothic"/>
          <w:sz w:val="19"/>
          <w:szCs w:val="19"/>
          <w:color w:val="auto"/>
        </w:rPr>
        <w:t>☐</w:t>
      </w:r>
    </w:p>
    <w:p>
      <w:pPr>
        <w:spacing w:after="0" w:line="160" w:lineRule="exact"/>
        <w:rPr>
          <w:sz w:val="20"/>
          <w:szCs w:val="20"/>
          <w:color w:val="auto"/>
        </w:rPr>
      </w:pPr>
    </w:p>
    <w:p>
      <w:pPr>
        <w:ind w:right="220" w:firstLine="318"/>
        <w:spacing w:after="0" w:line="26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60" w:lineRule="exact"/>
        <w:rPr>
          <w:sz w:val="20"/>
          <w:szCs w:val="20"/>
          <w:color w:val="auto"/>
        </w:rPr>
      </w:pPr>
    </w:p>
    <w:tbl>
      <w:tblPr>
        <w:tblLayout w:type="fixed"/>
        <w:tblInd w:w="20" w:type="dxa"/>
        <w:tblCellMar>
          <w:top w:w="0" w:type="dxa"/>
          <w:left w:w="0" w:type="dxa"/>
          <w:bottom w:w="0" w:type="dxa"/>
          <w:right w:w="0" w:type="dxa"/>
        </w:tblCellMar>
      </w:tblPr>
      <w:tr>
        <w:trPr>
          <w:trHeight w:val="318"/>
        </w:trPr>
        <w:tc>
          <w:tcPr>
            <w:tcW w:w="22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80" w:type="dxa"/>
            <w:vAlign w:val="bottom"/>
          </w:tcPr>
          <w:p>
            <w:pPr>
              <w:ind w:left="540"/>
              <w:spacing w:after="0" w:line="191" w:lineRule="exact"/>
              <w:rPr>
                <w:sz w:val="20"/>
                <w:szCs w:val="20"/>
                <w:color w:val="auto"/>
              </w:rPr>
            </w:pPr>
            <w:r>
              <w:rPr>
                <w:rFonts w:ascii="MS PGothic" w:cs="MS PGothic" w:eastAsia="MS PGothic" w:hAnsi="MS PGothic"/>
                <w:sz w:val="19"/>
                <w:szCs w:val="19"/>
                <w:color w:val="auto"/>
              </w:rPr>
              <w:t>☐</w:t>
            </w:r>
          </w:p>
        </w:tc>
        <w:tc>
          <w:tcPr>
            <w:tcW w:w="4820" w:type="dxa"/>
            <w:vAlign w:val="bottom"/>
          </w:tcPr>
          <w:p>
            <w:pPr>
              <w:ind w:left="1980"/>
              <w:spacing w:after="0"/>
              <w:rPr>
                <w:sz w:val="20"/>
                <w:szCs w:val="20"/>
                <w:color w:val="auto"/>
              </w:rPr>
            </w:pPr>
            <w:r>
              <w:rPr>
                <w:rFonts w:ascii="Arial" w:cs="Arial" w:eastAsia="Arial" w:hAnsi="Arial"/>
                <w:sz w:val="18"/>
                <w:szCs w:val="18"/>
                <w:color w:val="auto"/>
              </w:rPr>
              <w:t>Accelerated filer</w:t>
            </w:r>
          </w:p>
        </w:tc>
        <w:tc>
          <w:tcPr>
            <w:tcW w:w="900" w:type="dxa"/>
            <w:vAlign w:val="bottom"/>
          </w:tcPr>
          <w:p>
            <w:pPr>
              <w:ind w:left="720"/>
              <w:spacing w:after="0" w:line="191" w:lineRule="exact"/>
              <w:rPr>
                <w:sz w:val="20"/>
                <w:szCs w:val="20"/>
                <w:color w:val="auto"/>
              </w:rPr>
            </w:pPr>
            <w:r>
              <w:rPr>
                <w:rFonts w:ascii="MS PGothic" w:cs="MS PGothic" w:eastAsia="MS PGothic" w:hAnsi="MS PGothic"/>
                <w:sz w:val="19"/>
                <w:szCs w:val="19"/>
                <w:color w:val="auto"/>
                <w:w w:val="83"/>
              </w:rPr>
              <w:t>☒</w:t>
            </w:r>
          </w:p>
        </w:tc>
      </w:tr>
      <w:tr>
        <w:trPr>
          <w:trHeight w:val="278"/>
        </w:trPr>
        <w:tc>
          <w:tcPr>
            <w:tcW w:w="2280" w:type="dxa"/>
            <w:vAlign w:val="bottom"/>
          </w:tcPr>
          <w:p>
            <w:pPr>
              <w:spacing w:after="0"/>
              <w:rPr>
                <w:sz w:val="20"/>
                <w:szCs w:val="20"/>
                <w:color w:val="auto"/>
              </w:rPr>
            </w:pPr>
            <w:r>
              <w:rPr>
                <w:rFonts w:ascii="Arial" w:cs="Arial" w:eastAsia="Arial" w:hAnsi="Arial"/>
                <w:sz w:val="18"/>
                <w:szCs w:val="18"/>
                <w:color w:val="auto"/>
              </w:rPr>
              <w:t>Non-accelerated filer</w:t>
            </w:r>
          </w:p>
        </w:tc>
        <w:tc>
          <w:tcPr>
            <w:tcW w:w="2680" w:type="dxa"/>
            <w:vAlign w:val="bottom"/>
          </w:tcPr>
          <w:p>
            <w:pPr>
              <w:ind w:left="540"/>
              <w:spacing w:after="0" w:line="191" w:lineRule="exact"/>
              <w:rPr>
                <w:sz w:val="20"/>
                <w:szCs w:val="20"/>
                <w:color w:val="auto"/>
              </w:rPr>
            </w:pPr>
            <w:r>
              <w:rPr>
                <w:rFonts w:ascii="MS PGothic" w:cs="MS PGothic" w:eastAsia="MS PGothic" w:hAnsi="MS PGothic"/>
                <w:sz w:val="19"/>
                <w:szCs w:val="19"/>
                <w:color w:val="auto"/>
              </w:rPr>
              <w:t>☐</w:t>
            </w:r>
          </w:p>
        </w:tc>
        <w:tc>
          <w:tcPr>
            <w:tcW w:w="4820" w:type="dxa"/>
            <w:vAlign w:val="bottom"/>
          </w:tcPr>
          <w:p>
            <w:pPr>
              <w:ind w:left="1980"/>
              <w:spacing w:after="0"/>
              <w:rPr>
                <w:sz w:val="20"/>
                <w:szCs w:val="20"/>
                <w:color w:val="auto"/>
              </w:rPr>
            </w:pPr>
            <w:r>
              <w:rPr>
                <w:rFonts w:ascii="Arial" w:cs="Arial" w:eastAsia="Arial" w:hAnsi="Arial"/>
                <w:sz w:val="18"/>
                <w:szCs w:val="18"/>
                <w:color w:val="auto"/>
              </w:rPr>
              <w:t>Smaller reporting company</w:t>
            </w:r>
          </w:p>
        </w:tc>
        <w:tc>
          <w:tcPr>
            <w:tcW w:w="900" w:type="dxa"/>
            <w:vAlign w:val="bottom"/>
          </w:tcPr>
          <w:p>
            <w:pPr>
              <w:ind w:left="720"/>
              <w:spacing w:after="0" w:line="191" w:lineRule="exact"/>
              <w:rPr>
                <w:sz w:val="20"/>
                <w:szCs w:val="20"/>
                <w:color w:val="auto"/>
              </w:rPr>
            </w:pPr>
            <w:r>
              <w:rPr>
                <w:rFonts w:ascii="MS PGothic" w:cs="MS PGothic" w:eastAsia="MS PGothic" w:hAnsi="MS PGothic"/>
                <w:sz w:val="19"/>
                <w:szCs w:val="19"/>
                <w:color w:val="auto"/>
                <w:w w:val="83"/>
              </w:rPr>
              <w:t>☐</w:t>
            </w:r>
          </w:p>
        </w:tc>
      </w:tr>
      <w:tr>
        <w:trPr>
          <w:trHeight w:val="326"/>
        </w:trPr>
        <w:tc>
          <w:tcPr>
            <w:tcW w:w="22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820" w:type="dxa"/>
            <w:vAlign w:val="bottom"/>
          </w:tcPr>
          <w:p>
            <w:pPr>
              <w:ind w:left="1980"/>
              <w:spacing w:after="0"/>
              <w:rPr>
                <w:sz w:val="20"/>
                <w:szCs w:val="20"/>
                <w:color w:val="auto"/>
              </w:rPr>
            </w:pPr>
            <w:r>
              <w:rPr>
                <w:rFonts w:ascii="Arial" w:cs="Arial" w:eastAsia="Arial" w:hAnsi="Arial"/>
                <w:sz w:val="18"/>
                <w:szCs w:val="18"/>
                <w:color w:val="auto"/>
              </w:rPr>
              <w:t>Emerging growth company</w:t>
            </w:r>
          </w:p>
        </w:tc>
        <w:tc>
          <w:tcPr>
            <w:tcW w:w="900" w:type="dxa"/>
            <w:vAlign w:val="bottom"/>
          </w:tcPr>
          <w:p>
            <w:pPr>
              <w:ind w:left="720"/>
              <w:spacing w:after="0" w:line="191" w:lineRule="exact"/>
              <w:rPr>
                <w:sz w:val="20"/>
                <w:szCs w:val="20"/>
                <w:color w:val="auto"/>
              </w:rPr>
            </w:pPr>
            <w:r>
              <w:rPr>
                <w:rFonts w:ascii="MS PGothic" w:cs="MS PGothic" w:eastAsia="MS PGothic" w:hAnsi="MS PGothic"/>
                <w:sz w:val="19"/>
                <w:szCs w:val="19"/>
                <w:color w:val="auto"/>
                <w:w w:val="83"/>
              </w:rPr>
              <w:t>☐</w:t>
            </w:r>
          </w:p>
        </w:tc>
      </w:tr>
    </w:tbl>
    <w:p>
      <w:pPr>
        <w:spacing w:after="0" w:line="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w:t>
      </w:r>
    </w:p>
    <w:p>
      <w:pPr>
        <w:spacing w:after="0" w:line="25" w:lineRule="exact"/>
        <w:rPr>
          <w:sz w:val="20"/>
          <w:szCs w:val="20"/>
          <w:color w:val="auto"/>
        </w:rPr>
      </w:pPr>
    </w:p>
    <w:p>
      <w:pPr>
        <w:spacing w:after="0" w:line="207" w:lineRule="exact"/>
        <w:tabs>
          <w:tab w:leader="none" w:pos="10320" w:val="left"/>
        </w:tabs>
        <w:rPr>
          <w:sz w:val="20"/>
          <w:szCs w:val="20"/>
          <w:color w:val="auto"/>
        </w:rPr>
      </w:pPr>
      <w:r>
        <w:rPr>
          <w:rFonts w:ascii="Arial" w:cs="Arial" w:eastAsia="Arial" w:hAnsi="Arial"/>
          <w:sz w:val="18"/>
          <w:szCs w:val="18"/>
          <w:color w:val="auto"/>
        </w:rPr>
        <w:t>with any new 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16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w:t>
      </w:r>
    </w:p>
    <w:p>
      <w:pPr>
        <w:spacing w:after="0" w:line="25" w:lineRule="exact"/>
        <w:rPr>
          <w:sz w:val="20"/>
          <w:szCs w:val="20"/>
          <w:color w:val="auto"/>
        </w:rPr>
      </w:pPr>
    </w:p>
    <w:p>
      <w:pPr>
        <w:spacing w:after="0" w:line="219" w:lineRule="exact"/>
        <w:tabs>
          <w:tab w:leader="none" w:pos="2700" w:val="left"/>
          <w:tab w:leader="none" w:pos="3400" w:val="left"/>
        </w:tabs>
        <w:rPr>
          <w:sz w:val="20"/>
          <w:szCs w:val="20"/>
          <w:color w:val="auto"/>
        </w:rPr>
      </w:pPr>
      <w:r>
        <w:rPr>
          <w:rFonts w:ascii="Arial" w:cs="Arial" w:eastAsia="Arial" w:hAnsi="Arial"/>
          <w:sz w:val="18"/>
          <w:szCs w:val="18"/>
          <w:color w:val="auto"/>
        </w:rPr>
        <w:t>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9"/>
          <w:szCs w:val="19"/>
          <w:color w:val="auto"/>
        </w:rPr>
        <w:t>☒</w:t>
      </w:r>
    </w:p>
    <w:p>
      <w:pPr>
        <w:spacing w:after="0" w:line="5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May 7, 2025, the registrant had 76,471,415 shares of common stock, $0.0001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892810</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114935</wp:posOffset>
            </wp:positionV>
            <wp:extent cx="71348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81280</wp:posOffset>
            </wp:positionV>
            <wp:extent cx="71348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1014730</wp:posOffset>
            </wp:positionV>
            <wp:extent cx="7134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140" w:type="dxa"/>
            <w:vAlign w:val="bottom"/>
            <w:gridSpan w:val="8"/>
          </w:tcPr>
          <w:p>
            <w:pPr>
              <w:ind w:left="48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90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80" w:type="dxa"/>
            <w:vAlign w:val="bottom"/>
            <w:gridSpan w:val="11"/>
          </w:tcPr>
          <w:p>
            <w:pPr>
              <w:jc w:val="center"/>
              <w:ind w:right="4040"/>
              <w:spacing w:after="0" w:line="186" w:lineRule="exact"/>
              <w:rPr>
                <w:sz w:val="20"/>
                <w:szCs w:val="20"/>
                <w:color w:val="auto"/>
              </w:rPr>
            </w:pPr>
            <w:r>
              <w:rPr>
                <w:rFonts w:ascii="Arial" w:cs="Arial" w:eastAsia="Arial" w:hAnsi="Arial"/>
                <w:sz w:val="18"/>
                <w:szCs w:val="18"/>
                <w:color w:val="0000FF"/>
                <w:w w:val="98"/>
              </w:rPr>
              <w:t>Part I. Financial Information</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300" w:type="dxa"/>
            <w:vAlign w:val="bottom"/>
          </w:tcPr>
          <w:p>
            <w:pPr>
              <w:spacing w:after="0"/>
              <w:rPr>
                <w:sz w:val="4"/>
                <w:szCs w:val="4"/>
                <w:color w:val="auto"/>
              </w:rPr>
            </w:pPr>
          </w:p>
        </w:tc>
        <w:tc>
          <w:tcPr>
            <w:tcW w:w="27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shd w:val="clear" w:color="auto" w:fill="CCEEFF"/>
          </w:tcPr>
          <w:p>
            <w:pPr>
              <w:spacing w:after="0"/>
              <w:rPr>
                <w:sz w:val="17"/>
                <w:szCs w:val="17"/>
                <w:color w:val="auto"/>
              </w:rPr>
            </w:pPr>
          </w:p>
        </w:tc>
        <w:tc>
          <w:tcPr>
            <w:tcW w:w="3260" w:type="dxa"/>
            <w:vAlign w:val="bottom"/>
            <w:tcBorders>
              <w:bottom w:val="single" w:sz="8" w:color="0000FF"/>
            </w:tcBorders>
            <w:gridSpan w:val="8"/>
            <w:shd w:val="clear" w:color="auto" w:fill="CCEEFF"/>
          </w:tcPr>
          <w:p>
            <w:pPr>
              <w:spacing w:after="0" w:line="179" w:lineRule="exact"/>
              <w:rPr>
                <w:sz w:val="20"/>
                <w:szCs w:val="20"/>
                <w:color w:val="auto"/>
              </w:rPr>
            </w:pPr>
            <w:r>
              <w:rPr>
                <w:rFonts w:ascii="Arial" w:cs="Arial" w:eastAsia="Arial" w:hAnsi="Arial"/>
                <w:sz w:val="18"/>
                <w:szCs w:val="18"/>
                <w:color w:val="0000FF"/>
                <w:w w:val="97"/>
              </w:rPr>
              <w:t>Item 1. Financial Statements (Unaudited):</w:t>
            </w:r>
          </w:p>
        </w:tc>
        <w:tc>
          <w:tcPr>
            <w:tcW w:w="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gridSpan w:val="2"/>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right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gridSpan w:val="2"/>
            <w:shd w:val="clear" w:color="auto" w:fill="CCEEFF"/>
          </w:tcPr>
          <w:p>
            <w:pPr>
              <w:spacing w:after="0"/>
              <w:rPr>
                <w:sz w:val="17"/>
                <w:szCs w:val="17"/>
                <w:color w:val="auto"/>
              </w:rPr>
            </w:pPr>
          </w:p>
        </w:tc>
        <w:tc>
          <w:tcPr>
            <w:tcW w:w="2780" w:type="dxa"/>
            <w:vAlign w:val="bottom"/>
            <w:tcBorders>
              <w:bottom w:val="single" w:sz="8" w:color="CCEEFF"/>
            </w:tcBorders>
            <w:shd w:val="clear" w:color="auto" w:fill="CCEEFF"/>
          </w:tcPr>
          <w:p>
            <w:pPr>
              <w:spacing w:after="0"/>
              <w:rPr>
                <w:sz w:val="17"/>
                <w:szCs w:val="17"/>
                <w:color w:val="auto"/>
              </w:rPr>
            </w:pPr>
          </w:p>
        </w:tc>
        <w:tc>
          <w:tcPr>
            <w:tcW w:w="880" w:type="dxa"/>
            <w:vAlign w:val="bottom"/>
            <w:gridSpan w:val="3"/>
          </w:tcPr>
          <w:p>
            <w:pPr>
              <w:jc w:val="right"/>
              <w:spacing w:after="0" w:line="192" w:lineRule="exact"/>
              <w:rPr>
                <w:sz w:val="20"/>
                <w:szCs w:val="20"/>
                <w:color w:val="auto"/>
              </w:rPr>
            </w:pPr>
            <w:r>
              <w:rPr>
                <w:rFonts w:ascii="Arial" w:cs="Arial" w:eastAsia="Arial" w:hAnsi="Arial"/>
                <w:sz w:val="18"/>
                <w:szCs w:val="18"/>
                <w:color w:val="0000FF"/>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
        </w:trPr>
        <w:tc>
          <w:tcPr>
            <w:tcW w:w="20" w:type="dxa"/>
            <w:vAlign w:val="bottom"/>
            <w:tcBorders>
              <w:bottom w:val="single" w:sz="8" w:color="CCEEFF"/>
            </w:tcBorders>
            <w:shd w:val="clear" w:color="auto" w:fill="CCEEFF"/>
          </w:tcPr>
          <w:p>
            <w:pPr>
              <w:spacing w:after="0"/>
              <w:rPr>
                <w:sz w:val="3"/>
                <w:szCs w:val="3"/>
                <w:color w:val="auto"/>
              </w:rPr>
            </w:pPr>
          </w:p>
        </w:tc>
        <w:tc>
          <w:tcPr>
            <w:tcW w:w="840" w:type="dxa"/>
            <w:vAlign w:val="bottom"/>
            <w:tcBorders>
              <w:bottom w:val="single" w:sz="8" w:color="CCEEFF"/>
            </w:tcBorders>
            <w:shd w:val="clear" w:color="auto" w:fill="CCEEFF"/>
          </w:tcPr>
          <w:p>
            <w:pPr>
              <w:spacing w:after="0"/>
              <w:rPr>
                <w:sz w:val="3"/>
                <w:szCs w:val="3"/>
                <w:color w:val="auto"/>
              </w:rPr>
            </w:pPr>
          </w:p>
        </w:tc>
        <w:tc>
          <w:tcPr>
            <w:tcW w:w="380" w:type="dxa"/>
            <w:vAlign w:val="bottom"/>
            <w:tcBorders>
              <w:bottom w:val="single" w:sz="8" w:color="CCEEFF"/>
            </w:tcBorders>
            <w:shd w:val="clear" w:color="auto" w:fill="CCEEFF"/>
          </w:tcPr>
          <w:p>
            <w:pPr>
              <w:spacing w:after="0"/>
              <w:rPr>
                <w:sz w:val="3"/>
                <w:szCs w:val="3"/>
                <w:color w:val="auto"/>
              </w:rPr>
            </w:pPr>
          </w:p>
        </w:tc>
        <w:tc>
          <w:tcPr>
            <w:tcW w:w="480" w:type="dxa"/>
            <w:vAlign w:val="bottom"/>
            <w:tcBorders>
              <w:bottom w:val="single" w:sz="8" w:color="CCEEFF"/>
            </w:tcBorders>
            <w:shd w:val="clear" w:color="auto" w:fill="CCEEFF"/>
          </w:tcPr>
          <w:p>
            <w:pPr>
              <w:spacing w:after="0"/>
              <w:rPr>
                <w:sz w:val="3"/>
                <w:szCs w:val="3"/>
                <w:color w:val="auto"/>
              </w:rPr>
            </w:pPr>
          </w:p>
        </w:tc>
        <w:tc>
          <w:tcPr>
            <w:tcW w:w="260" w:type="dxa"/>
            <w:vAlign w:val="bottom"/>
            <w:tcBorders>
              <w:bottom w:val="single" w:sz="8" w:color="CCEEFF"/>
            </w:tcBorders>
            <w:shd w:val="clear" w:color="auto" w:fill="CCEEFF"/>
          </w:tcPr>
          <w:p>
            <w:pPr>
              <w:spacing w:after="0"/>
              <w:rPr>
                <w:sz w:val="3"/>
                <w:szCs w:val="3"/>
                <w:color w:val="auto"/>
              </w:rPr>
            </w:pPr>
          </w:p>
        </w:tc>
        <w:tc>
          <w:tcPr>
            <w:tcW w:w="100" w:type="dxa"/>
            <w:vAlign w:val="bottom"/>
            <w:tcBorders>
              <w:bottom w:val="single" w:sz="8" w:color="CCEEFF"/>
            </w:tcBorders>
            <w:shd w:val="clear" w:color="auto" w:fill="CCEEFF"/>
          </w:tcPr>
          <w:p>
            <w:pPr>
              <w:spacing w:after="0"/>
              <w:rPr>
                <w:sz w:val="3"/>
                <w:szCs w:val="3"/>
                <w:color w:val="auto"/>
              </w:rPr>
            </w:pPr>
          </w:p>
        </w:tc>
        <w:tc>
          <w:tcPr>
            <w:tcW w:w="420" w:type="dxa"/>
            <w:vAlign w:val="bottom"/>
            <w:tcBorders>
              <w:bottom w:val="single" w:sz="8" w:color="CCEEFF"/>
            </w:tcBorders>
            <w:shd w:val="clear" w:color="auto" w:fill="CCEEFF"/>
          </w:tcPr>
          <w:p>
            <w:pPr>
              <w:spacing w:after="0"/>
              <w:rPr>
                <w:sz w:val="3"/>
                <w:szCs w:val="3"/>
                <w:color w:val="auto"/>
              </w:rPr>
            </w:pPr>
          </w:p>
        </w:tc>
        <w:tc>
          <w:tcPr>
            <w:tcW w:w="620" w:type="dxa"/>
            <w:vAlign w:val="bottom"/>
            <w:tcBorders>
              <w:left w:val="single" w:sz="8" w:color="CCEEFF"/>
              <w:bottom w:val="single" w:sz="8" w:color="CCEEFF"/>
            </w:tcBorders>
            <w:shd w:val="clear" w:color="auto" w:fill="CCEEFF"/>
          </w:tcPr>
          <w:p>
            <w:pPr>
              <w:spacing w:after="0"/>
              <w:rPr>
                <w:sz w:val="3"/>
                <w:szCs w:val="3"/>
                <w:color w:val="auto"/>
              </w:rPr>
            </w:pPr>
          </w:p>
        </w:tc>
        <w:tc>
          <w:tcPr>
            <w:tcW w:w="16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760" w:type="dxa"/>
            <w:vAlign w:val="bottom"/>
            <w:tcBorders>
              <w:bottom w:val="single" w:sz="8" w:color="CCEEFF"/>
            </w:tcBorders>
            <w:shd w:val="clear" w:color="auto" w:fill="CCEEFF"/>
          </w:tcPr>
          <w:p>
            <w:pPr>
              <w:spacing w:after="0"/>
              <w:rPr>
                <w:sz w:val="3"/>
                <w:szCs w:val="3"/>
                <w:color w:val="auto"/>
              </w:rPr>
            </w:pPr>
          </w:p>
        </w:tc>
        <w:tc>
          <w:tcPr>
            <w:tcW w:w="40" w:type="dxa"/>
            <w:vAlign w:val="bottom"/>
            <w:tcBorders>
              <w:bottom w:val="single" w:sz="8" w:color="CCEEFF"/>
            </w:tcBorders>
            <w:shd w:val="clear" w:color="auto" w:fill="CCEEFF"/>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80" w:type="dxa"/>
            <w:vAlign w:val="bottom"/>
            <w:tcBorders>
              <w:bottom w:val="single" w:sz="8" w:color="CCEEFF"/>
            </w:tcBorders>
            <w:shd w:val="clear" w:color="auto" w:fill="CCEEFF"/>
          </w:tcPr>
          <w:p>
            <w:pPr>
              <w:spacing w:after="0"/>
              <w:rPr>
                <w:sz w:val="3"/>
                <w:szCs w:val="3"/>
                <w:color w:val="auto"/>
              </w:rPr>
            </w:pPr>
          </w:p>
        </w:tc>
        <w:tc>
          <w:tcPr>
            <w:tcW w:w="600" w:type="dxa"/>
            <w:vAlign w:val="bottom"/>
            <w:tcBorders>
              <w:bottom w:val="single" w:sz="8" w:color="CCEEFF"/>
            </w:tcBorders>
            <w:shd w:val="clear" w:color="auto" w:fill="CCEEFF"/>
          </w:tcPr>
          <w:p>
            <w:pPr>
              <w:spacing w:after="0"/>
              <w:rPr>
                <w:sz w:val="3"/>
                <w:szCs w:val="3"/>
                <w:color w:val="auto"/>
              </w:rPr>
            </w:pPr>
          </w:p>
        </w:tc>
        <w:tc>
          <w:tcPr>
            <w:tcW w:w="60" w:type="dxa"/>
            <w:vAlign w:val="bottom"/>
            <w:tcBorders>
              <w:bottom w:val="single" w:sz="8" w:color="CCEEFF"/>
            </w:tcBorders>
            <w:shd w:val="clear" w:color="auto" w:fill="CCEEFF"/>
          </w:tcPr>
          <w:p>
            <w:pPr>
              <w:spacing w:after="0"/>
              <w:rPr>
                <w:sz w:val="3"/>
                <w:szCs w:val="3"/>
                <w:color w:val="auto"/>
              </w:rPr>
            </w:pPr>
          </w:p>
        </w:tc>
        <w:tc>
          <w:tcPr>
            <w:tcW w:w="400" w:type="dxa"/>
            <w:vAlign w:val="bottom"/>
            <w:tcBorders>
              <w:bottom w:val="single" w:sz="8" w:color="CCEEFF"/>
              <w:right w:val="single" w:sz="8" w:color="CCEEFF"/>
            </w:tcBorders>
            <w:shd w:val="clear" w:color="auto" w:fill="CCEEFF"/>
          </w:tcPr>
          <w:p>
            <w:pPr>
              <w:spacing w:after="0"/>
              <w:rPr>
                <w:sz w:val="3"/>
                <w:szCs w:val="3"/>
                <w:color w:val="auto"/>
              </w:rPr>
            </w:pPr>
          </w:p>
        </w:tc>
        <w:tc>
          <w:tcPr>
            <w:tcW w:w="120" w:type="dxa"/>
            <w:vAlign w:val="bottom"/>
            <w:tcBorders>
              <w:bottom w:val="single" w:sz="8" w:color="CCEEFF"/>
            </w:tcBorders>
            <w:shd w:val="clear" w:color="auto" w:fill="CCEEFF"/>
          </w:tcPr>
          <w:p>
            <w:pPr>
              <w:spacing w:after="0"/>
              <w:rPr>
                <w:sz w:val="3"/>
                <w:szCs w:val="3"/>
                <w:color w:val="auto"/>
              </w:rPr>
            </w:pPr>
          </w:p>
        </w:tc>
        <w:tc>
          <w:tcPr>
            <w:tcW w:w="760" w:type="dxa"/>
            <w:vAlign w:val="bottom"/>
            <w:tcBorders>
              <w:bottom w:val="single" w:sz="8" w:color="CCEEFF"/>
            </w:tcBorders>
            <w:shd w:val="clear" w:color="auto" w:fill="CCEEFF"/>
          </w:tcPr>
          <w:p>
            <w:pPr>
              <w:spacing w:after="0"/>
              <w:rPr>
                <w:sz w:val="3"/>
                <w:szCs w:val="3"/>
                <w:color w:val="auto"/>
              </w:rPr>
            </w:pPr>
          </w:p>
        </w:tc>
        <w:tc>
          <w:tcPr>
            <w:tcW w:w="120" w:type="dxa"/>
            <w:vAlign w:val="bottom"/>
            <w:tcBorders>
              <w:bottom w:val="single" w:sz="8" w:color="CCEEFF"/>
            </w:tcBorders>
            <w:shd w:val="clear" w:color="auto" w:fill="CCEEFF"/>
          </w:tcPr>
          <w:p>
            <w:pPr>
              <w:spacing w:after="0"/>
              <w:rPr>
                <w:sz w:val="3"/>
                <w:szCs w:val="3"/>
                <w:color w:val="auto"/>
              </w:rPr>
            </w:pPr>
          </w:p>
        </w:tc>
        <w:tc>
          <w:tcPr>
            <w:tcW w:w="1300" w:type="dxa"/>
            <w:vAlign w:val="bottom"/>
            <w:tcBorders>
              <w:bottom w:val="single" w:sz="8" w:color="CCEEFF"/>
            </w:tcBorders>
            <w:shd w:val="clear" w:color="auto" w:fill="CCEEFF"/>
          </w:tcPr>
          <w:p>
            <w:pPr>
              <w:spacing w:after="0"/>
              <w:rPr>
                <w:sz w:val="3"/>
                <w:szCs w:val="3"/>
                <w:color w:val="auto"/>
              </w:rPr>
            </w:pPr>
          </w:p>
        </w:tc>
        <w:tc>
          <w:tcPr>
            <w:tcW w:w="2780" w:type="dxa"/>
            <w:vAlign w:val="bottom"/>
            <w:tcBorders>
              <w:bottom w:val="single" w:sz="8" w:color="CCEEFF"/>
            </w:tcBorders>
            <w:shd w:val="clear" w:color="auto" w:fill="CCEEFF"/>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80" w:type="dxa"/>
            <w:vAlign w:val="bottom"/>
            <w:tcBorders>
              <w:bottom w:val="single" w:sz="8" w:color="0000FF"/>
            </w:tcBorders>
            <w:gridSpan w:val="9"/>
          </w:tcPr>
          <w:p>
            <w:pPr>
              <w:spacing w:after="0" w:line="172" w:lineRule="exact"/>
              <w:rPr>
                <w:sz w:val="20"/>
                <w:szCs w:val="20"/>
                <w:color w:val="auto"/>
              </w:rPr>
            </w:pPr>
            <w:r>
              <w:rPr>
                <w:rFonts w:ascii="Arial" w:cs="Arial" w:eastAsia="Arial" w:hAnsi="Arial"/>
                <w:sz w:val="18"/>
                <w:szCs w:val="18"/>
                <w:color w:val="0000FF"/>
                <w:w w:val="97"/>
              </w:rPr>
              <w:t>Condensed Consolidated Balance Sheets</w:t>
            </w:r>
          </w:p>
        </w:tc>
        <w:tc>
          <w:tcPr>
            <w:tcW w:w="7040" w:type="dxa"/>
            <w:vAlign w:val="bottom"/>
            <w:gridSpan w:val="12"/>
          </w:tcPr>
          <w:p>
            <w:pPr>
              <w:spacing w:after="0"/>
              <w:rPr>
                <w:sz w:val="14"/>
                <w:szCs w:val="14"/>
                <w:color w:val="auto"/>
              </w:rPr>
            </w:pPr>
          </w:p>
        </w:tc>
        <w:tc>
          <w:tcPr>
            <w:tcW w:w="780" w:type="dxa"/>
            <w:vAlign w:val="bottom"/>
            <w:gridSpan w:val="2"/>
          </w:tcPr>
          <w:p>
            <w:pPr>
              <w:spacing w:after="0"/>
              <w:rPr>
                <w:sz w:val="14"/>
                <w:szCs w:val="14"/>
                <w:color w:val="auto"/>
              </w:rPr>
            </w:pPr>
          </w:p>
        </w:tc>
        <w:tc>
          <w:tcPr>
            <w:tcW w:w="100" w:type="dxa"/>
            <w:vAlign w:val="bottom"/>
            <w:tcBorders>
              <w:bottom w:val="single" w:sz="8" w:color="0000FF"/>
            </w:tcBorders>
          </w:tcPr>
          <w:p>
            <w:pPr>
              <w:jc w:val="right"/>
              <w:spacing w:after="0" w:line="172" w:lineRule="exact"/>
              <w:rPr>
                <w:sz w:val="20"/>
                <w:szCs w:val="20"/>
                <w:color w:val="auto"/>
              </w:rPr>
            </w:pPr>
            <w:r>
              <w:rPr>
                <w:rFonts w:ascii="Arial" w:cs="Arial" w:eastAsia="Arial" w:hAnsi="Arial"/>
                <w:sz w:val="18"/>
                <w:szCs w:val="18"/>
                <w:color w:val="0000FF"/>
                <w:w w:val="79"/>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4040" w:type="dxa"/>
            <w:vAlign w:val="bottom"/>
            <w:tcBorders>
              <w:bottom w:val="single" w:sz="8" w:color="0000FF"/>
            </w:tcBorders>
            <w:gridSpan w:val="10"/>
            <w:shd w:val="clear" w:color="auto" w:fill="CCEEFF"/>
          </w:tcPr>
          <w:p>
            <w:pPr>
              <w:spacing w:after="0" w:line="205" w:lineRule="exact"/>
              <w:rPr>
                <w:sz w:val="20"/>
                <w:szCs w:val="20"/>
                <w:color w:val="auto"/>
              </w:rPr>
            </w:pPr>
            <w:r>
              <w:rPr>
                <w:rFonts w:ascii="Arial" w:cs="Arial" w:eastAsia="Arial" w:hAnsi="Arial"/>
                <w:sz w:val="18"/>
                <w:szCs w:val="18"/>
                <w:color w:val="0000FF"/>
                <w:w w:val="97"/>
              </w:rPr>
              <w:t>Condensed Consolidated Statements of Operations</w:t>
            </w:r>
          </w:p>
        </w:tc>
        <w:tc>
          <w:tcPr>
            <w:tcW w:w="6280" w:type="dxa"/>
            <w:vAlign w:val="bottom"/>
            <w:tcBorders>
              <w:bottom w:val="single" w:sz="8" w:color="CCEEFF"/>
            </w:tcBorders>
            <w:gridSpan w:val="11"/>
            <w:shd w:val="clear" w:color="auto" w:fill="CCEEFF"/>
          </w:tcPr>
          <w:p>
            <w:pPr>
              <w:spacing w:after="0"/>
              <w:rPr>
                <w:sz w:val="19"/>
                <w:szCs w:val="19"/>
                <w:color w:val="auto"/>
              </w:rPr>
            </w:pPr>
          </w:p>
        </w:tc>
        <w:tc>
          <w:tcPr>
            <w:tcW w:w="780" w:type="dxa"/>
            <w:vAlign w:val="bottom"/>
            <w:gridSpan w:val="2"/>
          </w:tcPr>
          <w:p>
            <w:pPr>
              <w:spacing w:after="0"/>
              <w:rPr>
                <w:sz w:val="19"/>
                <w:szCs w:val="19"/>
                <w:color w:val="auto"/>
              </w:rPr>
            </w:pPr>
          </w:p>
        </w:tc>
        <w:tc>
          <w:tcPr>
            <w:tcW w:w="100" w:type="dxa"/>
            <w:vAlign w:val="bottom"/>
            <w:tcBorders>
              <w:bottom w:val="single" w:sz="8" w:color="0000FF"/>
            </w:tcBorders>
          </w:tcPr>
          <w:p>
            <w:pPr>
              <w:jc w:val="right"/>
              <w:spacing w:after="0" w:line="205" w:lineRule="exact"/>
              <w:rPr>
                <w:sz w:val="20"/>
                <w:szCs w:val="20"/>
                <w:color w:val="auto"/>
              </w:rPr>
            </w:pPr>
            <w:r>
              <w:rPr>
                <w:rFonts w:ascii="Arial" w:cs="Arial" w:eastAsia="Arial" w:hAnsi="Arial"/>
                <w:sz w:val="18"/>
                <w:szCs w:val="18"/>
                <w:color w:val="0000FF"/>
                <w:w w:val="79"/>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Borders>
              <w:top w:val="single" w:sz="8" w:color="CCEEFF"/>
            </w:tcBorders>
          </w:tcPr>
          <w:p>
            <w:pPr>
              <w:spacing w:after="0"/>
              <w:rPr>
                <w:sz w:val="17"/>
                <w:szCs w:val="17"/>
                <w:color w:val="auto"/>
              </w:rPr>
            </w:pPr>
          </w:p>
        </w:tc>
        <w:tc>
          <w:tcPr>
            <w:tcW w:w="4840" w:type="dxa"/>
            <w:vAlign w:val="bottom"/>
            <w:tcBorders>
              <w:top w:val="single" w:sz="8" w:color="CCEEFF"/>
              <w:bottom w:val="single" w:sz="8" w:color="CCEEFF"/>
            </w:tcBorders>
            <w:gridSpan w:val="15"/>
            <w:vMerge w:val="restart"/>
          </w:tcPr>
          <w:p>
            <w:pPr>
              <w:spacing w:after="0"/>
              <w:rPr>
                <w:sz w:val="20"/>
                <w:szCs w:val="20"/>
                <w:color w:val="auto"/>
              </w:rPr>
            </w:pPr>
            <w:r>
              <w:rPr>
                <w:rFonts w:ascii="Arial" w:cs="Arial" w:eastAsia="Arial" w:hAnsi="Arial"/>
                <w:sz w:val="18"/>
                <w:szCs w:val="18"/>
                <w:color w:val="0000FF"/>
                <w:w w:val="97"/>
              </w:rPr>
              <w:t>Condensed Consolidated Statements of Comprehensive Loss</w:t>
            </w:r>
          </w:p>
        </w:tc>
        <w:tc>
          <w:tcPr>
            <w:tcW w:w="5480" w:type="dxa"/>
            <w:vAlign w:val="bottom"/>
            <w:tcBorders>
              <w:top w:val="single" w:sz="8" w:color="CCEEFF"/>
              <w:bottom w:val="single" w:sz="8" w:color="CCEEFF"/>
            </w:tcBorders>
            <w:gridSpan w:val="6"/>
            <w:vMerge w:val="restart"/>
          </w:tcPr>
          <w:p>
            <w:pPr>
              <w:spacing w:after="0"/>
              <w:rPr>
                <w:sz w:val="17"/>
                <w:szCs w:val="17"/>
                <w:color w:val="auto"/>
              </w:rPr>
            </w:pPr>
          </w:p>
        </w:tc>
        <w:tc>
          <w:tcPr>
            <w:tcW w:w="78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99" w:lineRule="exact"/>
              <w:rPr>
                <w:sz w:val="20"/>
                <w:szCs w:val="20"/>
                <w:color w:val="auto"/>
              </w:rPr>
            </w:pPr>
            <w:r>
              <w:rPr>
                <w:rFonts w:ascii="Arial" w:cs="Arial" w:eastAsia="Arial" w:hAnsi="Arial"/>
                <w:sz w:val="18"/>
                <w:szCs w:val="18"/>
                <w:color w:val="0000FF"/>
                <w:w w:val="79"/>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840" w:type="dxa"/>
            <w:vAlign w:val="bottom"/>
            <w:tcBorders>
              <w:bottom w:val="single" w:sz="8" w:color="0000FF"/>
            </w:tcBorders>
            <w:gridSpan w:val="15"/>
            <w:vMerge w:val="continue"/>
          </w:tcPr>
          <w:p>
            <w:pPr>
              <w:spacing w:after="0"/>
              <w:rPr>
                <w:sz w:val="14"/>
                <w:szCs w:val="14"/>
                <w:color w:val="auto"/>
              </w:rPr>
            </w:pPr>
          </w:p>
        </w:tc>
        <w:tc>
          <w:tcPr>
            <w:tcW w:w="5480" w:type="dxa"/>
            <w:vAlign w:val="bottom"/>
            <w:gridSpan w:val="6"/>
            <w:vMerge w:val="continue"/>
          </w:tcPr>
          <w:p>
            <w:pPr>
              <w:spacing w:after="0"/>
              <w:rPr>
                <w:sz w:val="14"/>
                <w:szCs w:val="14"/>
                <w:color w:val="auto"/>
              </w:rPr>
            </w:pPr>
          </w:p>
        </w:tc>
        <w:tc>
          <w:tcPr>
            <w:tcW w:w="780" w:type="dxa"/>
            <w:vAlign w:val="bottom"/>
            <w:gridSpan w:val="2"/>
            <w:vMerge w:val="restart"/>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0000FF"/>
                <w:w w:val="79"/>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19"/>
                <w:szCs w:val="19"/>
                <w:color w:val="auto"/>
              </w:rPr>
            </w:pPr>
          </w:p>
        </w:tc>
        <w:tc>
          <w:tcPr>
            <w:tcW w:w="4780" w:type="dxa"/>
            <w:vAlign w:val="bottom"/>
            <w:tcBorders>
              <w:bottom w:val="single" w:sz="8" w:color="0000FF"/>
            </w:tcBorders>
            <w:gridSpan w:val="14"/>
            <w:shd w:val="clear" w:color="auto" w:fill="CCEEFF"/>
          </w:tcPr>
          <w:p>
            <w:pPr>
              <w:spacing w:after="0" w:line="205" w:lineRule="exact"/>
              <w:rPr>
                <w:sz w:val="20"/>
                <w:szCs w:val="20"/>
                <w:color w:val="auto"/>
              </w:rPr>
            </w:pPr>
            <w:r>
              <w:rPr>
                <w:rFonts w:ascii="Arial" w:cs="Arial" w:eastAsia="Arial" w:hAnsi="Arial"/>
                <w:sz w:val="18"/>
                <w:szCs w:val="18"/>
                <w:color w:val="0000FF"/>
                <w:w w:val="97"/>
              </w:rPr>
              <w:t>Condensed Consolidated Statements of Stockholders’ Deficit</w:t>
            </w:r>
          </w:p>
        </w:tc>
        <w:tc>
          <w:tcPr>
            <w:tcW w:w="5540" w:type="dxa"/>
            <w:vAlign w:val="bottom"/>
            <w:tcBorders>
              <w:bottom w:val="single" w:sz="8" w:color="CCEEFF"/>
            </w:tcBorders>
            <w:gridSpan w:val="7"/>
            <w:shd w:val="clear" w:color="auto" w:fill="CCEEFF"/>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00" w:type="dxa"/>
            <w:vAlign w:val="bottom"/>
            <w:tcBorders>
              <w:bottom w:val="single" w:sz="8" w:color="0000FF"/>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0" w:type="dxa"/>
            <w:vAlign w:val="bottom"/>
            <w:tcBorders>
              <w:top w:val="single" w:sz="8" w:color="CCEEFF"/>
            </w:tcBorders>
          </w:tcPr>
          <w:p>
            <w:pPr>
              <w:spacing w:after="0"/>
              <w:rPr>
                <w:sz w:val="16"/>
                <w:szCs w:val="16"/>
                <w:color w:val="auto"/>
              </w:rPr>
            </w:pPr>
          </w:p>
        </w:tc>
        <w:tc>
          <w:tcPr>
            <w:tcW w:w="4100" w:type="dxa"/>
            <w:vAlign w:val="bottom"/>
            <w:tcBorders>
              <w:top w:val="single" w:sz="8" w:color="CCEEFF"/>
              <w:bottom w:val="single" w:sz="8" w:color="0000FF"/>
            </w:tcBorders>
            <w:gridSpan w:val="12"/>
          </w:tcPr>
          <w:p>
            <w:pPr>
              <w:spacing w:after="0" w:line="185" w:lineRule="exact"/>
              <w:rPr>
                <w:sz w:val="20"/>
                <w:szCs w:val="20"/>
                <w:color w:val="auto"/>
              </w:rPr>
            </w:pPr>
            <w:r>
              <w:rPr>
                <w:rFonts w:ascii="Arial" w:cs="Arial" w:eastAsia="Arial" w:hAnsi="Arial"/>
                <w:sz w:val="18"/>
                <w:szCs w:val="18"/>
                <w:color w:val="0000FF"/>
                <w:w w:val="97"/>
              </w:rPr>
              <w:t>Condensed Consolidated Statements of Cash Flows</w:t>
            </w:r>
          </w:p>
        </w:tc>
        <w:tc>
          <w:tcPr>
            <w:tcW w:w="6220" w:type="dxa"/>
            <w:vAlign w:val="bottom"/>
            <w:tcBorders>
              <w:top w:val="single" w:sz="8" w:color="CCEEFF"/>
            </w:tcBorders>
            <w:gridSpan w:val="9"/>
          </w:tcPr>
          <w:p>
            <w:pPr>
              <w:spacing w:after="0"/>
              <w:rPr>
                <w:sz w:val="16"/>
                <w:szCs w:val="16"/>
                <w:color w:val="auto"/>
              </w:rPr>
            </w:pPr>
          </w:p>
        </w:tc>
        <w:tc>
          <w:tcPr>
            <w:tcW w:w="780" w:type="dxa"/>
            <w:vAlign w:val="bottom"/>
            <w:gridSpan w:val="2"/>
          </w:tcPr>
          <w:p>
            <w:pPr>
              <w:spacing w:after="0"/>
              <w:rPr>
                <w:sz w:val="16"/>
                <w:szCs w:val="16"/>
                <w:color w:val="auto"/>
              </w:rPr>
            </w:pPr>
          </w:p>
        </w:tc>
        <w:tc>
          <w:tcPr>
            <w:tcW w:w="100" w:type="dxa"/>
            <w:vAlign w:val="bottom"/>
            <w:tcBorders>
              <w:bottom w:val="single" w:sz="8" w:color="0000FF"/>
            </w:tcBorders>
          </w:tcPr>
          <w:p>
            <w:pPr>
              <w:jc w:val="right"/>
              <w:spacing w:after="0" w:line="185" w:lineRule="exact"/>
              <w:rPr>
                <w:sz w:val="20"/>
                <w:szCs w:val="20"/>
                <w:color w:val="auto"/>
              </w:rPr>
            </w:pPr>
            <w:r>
              <w:rPr>
                <w:rFonts w:ascii="Arial" w:cs="Arial" w:eastAsia="Arial" w:hAnsi="Arial"/>
                <w:sz w:val="18"/>
                <w:szCs w:val="18"/>
                <w:color w:val="0000FF"/>
                <w:w w:val="79"/>
              </w:rPr>
              <w:t>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10320" w:type="dxa"/>
            <w:vAlign w:val="bottom"/>
            <w:gridSpan w:val="21"/>
            <w:shd w:val="clear" w:color="auto" w:fill="CCEEFF"/>
          </w:tcPr>
          <w:p>
            <w:pPr>
              <w:spacing w:after="0" w:line="205" w:lineRule="exact"/>
              <w:rPr>
                <w:sz w:val="20"/>
                <w:szCs w:val="20"/>
                <w:color w:val="auto"/>
              </w:rPr>
            </w:pPr>
            <w:r>
              <w:rPr>
                <w:rFonts w:ascii="Arial" w:cs="Arial" w:eastAsia="Arial" w:hAnsi="Arial"/>
                <w:sz w:val="18"/>
                <w:szCs w:val="18"/>
                <w:color w:val="0000FF"/>
              </w:rPr>
              <w:t>Notes to Unaudited Condensed Consolidated Financial Statements</w:t>
            </w:r>
          </w:p>
        </w:tc>
        <w:tc>
          <w:tcPr>
            <w:tcW w:w="880" w:type="dxa"/>
            <w:vAlign w:val="bottom"/>
            <w:gridSpan w:val="3"/>
          </w:tcPr>
          <w:p>
            <w:pPr>
              <w:jc w:val="right"/>
              <w:spacing w:after="0" w:line="205" w:lineRule="exact"/>
              <w:rPr>
                <w:sz w:val="20"/>
                <w:szCs w:val="20"/>
                <w:color w:val="auto"/>
              </w:rPr>
            </w:pPr>
            <w:r>
              <w:rPr>
                <w:rFonts w:ascii="Arial" w:cs="Arial" w:eastAsia="Arial" w:hAnsi="Arial"/>
                <w:sz w:val="18"/>
                <w:szCs w:val="18"/>
                <w:color w:val="0000FF"/>
              </w:rPr>
              <w:t>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shd w:val="clear" w:color="auto" w:fill="CCEEFF"/>
          </w:tcPr>
          <w:p>
            <w:pPr>
              <w:spacing w:after="0" w:line="20" w:lineRule="exact"/>
              <w:rPr>
                <w:sz w:val="1"/>
                <w:szCs w:val="1"/>
                <w:color w:val="auto"/>
              </w:rPr>
            </w:pPr>
          </w:p>
        </w:tc>
        <w:tc>
          <w:tcPr>
            <w:tcW w:w="840" w:type="dxa"/>
            <w:vAlign w:val="bottom"/>
            <w:tcBorders>
              <w:bottom w:val="single" w:sz="8" w:color="CCEEFF"/>
            </w:tcBorders>
            <w:shd w:val="clear" w:color="auto" w:fill="0000FF"/>
          </w:tcPr>
          <w:p>
            <w:pPr>
              <w:spacing w:after="0" w:line="20" w:lineRule="exact"/>
              <w:rPr>
                <w:sz w:val="1"/>
                <w:szCs w:val="1"/>
                <w:color w:val="auto"/>
              </w:rPr>
            </w:pPr>
          </w:p>
        </w:tc>
        <w:tc>
          <w:tcPr>
            <w:tcW w:w="380" w:type="dxa"/>
            <w:vAlign w:val="bottom"/>
            <w:tcBorders>
              <w:bottom w:val="single" w:sz="8" w:color="CCEEFF"/>
            </w:tcBorders>
            <w:shd w:val="clear" w:color="auto" w:fill="0000FF"/>
          </w:tcPr>
          <w:p>
            <w:pPr>
              <w:spacing w:after="0" w:line="20" w:lineRule="exact"/>
              <w:rPr>
                <w:sz w:val="1"/>
                <w:szCs w:val="1"/>
                <w:color w:val="auto"/>
              </w:rPr>
            </w:pPr>
          </w:p>
        </w:tc>
        <w:tc>
          <w:tcPr>
            <w:tcW w:w="480" w:type="dxa"/>
            <w:vAlign w:val="bottom"/>
            <w:tcBorders>
              <w:bottom w:val="single" w:sz="8" w:color="CCEEFF"/>
            </w:tcBorders>
            <w:shd w:val="clear" w:color="auto" w:fill="0000FF"/>
          </w:tcPr>
          <w:p>
            <w:pPr>
              <w:spacing w:after="0" w:line="20" w:lineRule="exact"/>
              <w:rPr>
                <w:sz w:val="1"/>
                <w:szCs w:val="1"/>
                <w:color w:val="auto"/>
              </w:rPr>
            </w:pPr>
          </w:p>
        </w:tc>
        <w:tc>
          <w:tcPr>
            <w:tcW w:w="260" w:type="dxa"/>
            <w:vAlign w:val="bottom"/>
            <w:tcBorders>
              <w:bottom w:val="single" w:sz="8" w:color="CCEEFF"/>
            </w:tcBorders>
            <w:shd w:val="clear" w:color="auto" w:fill="0000FF"/>
          </w:tcPr>
          <w:p>
            <w:pPr>
              <w:spacing w:after="0" w:line="20" w:lineRule="exact"/>
              <w:rPr>
                <w:sz w:val="1"/>
                <w:szCs w:val="1"/>
                <w:color w:val="auto"/>
              </w:rPr>
            </w:pPr>
          </w:p>
        </w:tc>
        <w:tc>
          <w:tcPr>
            <w:tcW w:w="100" w:type="dxa"/>
            <w:vAlign w:val="bottom"/>
            <w:tcBorders>
              <w:bottom w:val="single" w:sz="8" w:color="CCEEFF"/>
            </w:tcBorders>
            <w:shd w:val="clear" w:color="auto" w:fill="0000FF"/>
          </w:tcPr>
          <w:p>
            <w:pPr>
              <w:spacing w:after="0" w:line="20" w:lineRule="exact"/>
              <w:rPr>
                <w:sz w:val="1"/>
                <w:szCs w:val="1"/>
                <w:color w:val="auto"/>
              </w:rPr>
            </w:pPr>
          </w:p>
        </w:tc>
        <w:tc>
          <w:tcPr>
            <w:tcW w:w="420" w:type="dxa"/>
            <w:vAlign w:val="bottom"/>
            <w:tcBorders>
              <w:bottom w:val="single" w:sz="8" w:color="CCEEFF"/>
            </w:tcBorders>
            <w:shd w:val="clear" w:color="auto" w:fill="0000FF"/>
          </w:tcPr>
          <w:p>
            <w:pPr>
              <w:spacing w:after="0" w:line="20" w:lineRule="exact"/>
              <w:rPr>
                <w:sz w:val="1"/>
                <w:szCs w:val="1"/>
                <w:color w:val="auto"/>
              </w:rPr>
            </w:pPr>
          </w:p>
        </w:tc>
        <w:tc>
          <w:tcPr>
            <w:tcW w:w="620" w:type="dxa"/>
            <w:vAlign w:val="bottom"/>
            <w:tcBorders>
              <w:left w:val="single" w:sz="8" w:color="0000FF"/>
              <w:bottom w:val="single" w:sz="8" w:color="CCEEFF"/>
            </w:tcBorders>
            <w:shd w:val="clear" w:color="auto" w:fill="0000FF"/>
          </w:tcPr>
          <w:p>
            <w:pPr>
              <w:spacing w:after="0" w:line="20" w:lineRule="exact"/>
              <w:rPr>
                <w:sz w:val="1"/>
                <w:szCs w:val="1"/>
                <w:color w:val="auto"/>
              </w:rPr>
            </w:pPr>
          </w:p>
        </w:tc>
        <w:tc>
          <w:tcPr>
            <w:tcW w:w="160" w:type="dxa"/>
            <w:vAlign w:val="bottom"/>
            <w:tcBorders>
              <w:bottom w:val="single" w:sz="8" w:color="CCEEFF"/>
            </w:tcBorders>
            <w:shd w:val="clear" w:color="auto" w:fill="0000FF"/>
          </w:tcPr>
          <w:p>
            <w:pPr>
              <w:spacing w:after="0" w:line="20" w:lineRule="exact"/>
              <w:rPr>
                <w:sz w:val="1"/>
                <w:szCs w:val="1"/>
                <w:color w:val="auto"/>
              </w:rPr>
            </w:pPr>
          </w:p>
        </w:tc>
        <w:tc>
          <w:tcPr>
            <w:tcW w:w="20" w:type="dxa"/>
            <w:vAlign w:val="bottom"/>
            <w:tcBorders>
              <w:bottom w:val="single" w:sz="8" w:color="CCEEFF"/>
            </w:tcBorders>
            <w:shd w:val="clear" w:color="auto" w:fill="0000FF"/>
          </w:tcPr>
          <w:p>
            <w:pPr>
              <w:spacing w:after="0" w:line="20" w:lineRule="exact"/>
              <w:rPr>
                <w:sz w:val="1"/>
                <w:szCs w:val="1"/>
                <w:color w:val="auto"/>
              </w:rPr>
            </w:pPr>
          </w:p>
        </w:tc>
        <w:tc>
          <w:tcPr>
            <w:tcW w:w="760" w:type="dxa"/>
            <w:vAlign w:val="bottom"/>
            <w:tcBorders>
              <w:bottom w:val="single" w:sz="8" w:color="CCEEFF"/>
            </w:tcBorders>
            <w:shd w:val="clear" w:color="auto" w:fill="0000FF"/>
          </w:tcPr>
          <w:p>
            <w:pPr>
              <w:spacing w:after="0" w:line="20" w:lineRule="exact"/>
              <w:rPr>
                <w:sz w:val="1"/>
                <w:szCs w:val="1"/>
                <w:color w:val="auto"/>
              </w:rPr>
            </w:pPr>
          </w:p>
        </w:tc>
        <w:tc>
          <w:tcPr>
            <w:tcW w:w="40" w:type="dxa"/>
            <w:vAlign w:val="bottom"/>
            <w:tcBorders>
              <w:bottom w:val="single" w:sz="8" w:color="CCEEFF"/>
            </w:tcBorders>
            <w:shd w:val="clear" w:color="auto" w:fill="0000FF"/>
          </w:tcPr>
          <w:p>
            <w:pPr>
              <w:spacing w:after="0" w:line="20" w:lineRule="exact"/>
              <w:rPr>
                <w:sz w:val="1"/>
                <w:szCs w:val="1"/>
                <w:color w:val="auto"/>
              </w:rPr>
            </w:pPr>
          </w:p>
        </w:tc>
        <w:tc>
          <w:tcPr>
            <w:tcW w:w="20" w:type="dxa"/>
            <w:vAlign w:val="bottom"/>
            <w:tcBorders>
              <w:bottom w:val="single" w:sz="8" w:color="CCEEFF"/>
            </w:tcBorders>
            <w:shd w:val="clear" w:color="auto" w:fill="0000FF"/>
          </w:tcPr>
          <w:p>
            <w:pPr>
              <w:spacing w:after="0" w:line="20" w:lineRule="exact"/>
              <w:rPr>
                <w:sz w:val="1"/>
                <w:szCs w:val="1"/>
                <w:color w:val="auto"/>
              </w:rPr>
            </w:pPr>
          </w:p>
        </w:tc>
        <w:tc>
          <w:tcPr>
            <w:tcW w:w="80" w:type="dxa"/>
            <w:vAlign w:val="bottom"/>
            <w:tcBorders>
              <w:bottom w:val="single" w:sz="8" w:color="CCEEFF"/>
            </w:tcBorders>
            <w:shd w:val="clear" w:color="auto" w:fill="0000FF"/>
          </w:tcPr>
          <w:p>
            <w:pPr>
              <w:spacing w:after="0" w:line="20" w:lineRule="exact"/>
              <w:rPr>
                <w:sz w:val="1"/>
                <w:szCs w:val="1"/>
                <w:color w:val="auto"/>
              </w:rPr>
            </w:pPr>
          </w:p>
        </w:tc>
        <w:tc>
          <w:tcPr>
            <w:tcW w:w="600" w:type="dxa"/>
            <w:vAlign w:val="bottom"/>
            <w:tcBorders>
              <w:bottom w:val="single" w:sz="8" w:color="CCEEFF"/>
            </w:tcBorders>
            <w:shd w:val="clear" w:color="auto" w:fill="0000FF"/>
          </w:tcPr>
          <w:p>
            <w:pPr>
              <w:spacing w:after="0" w:line="20" w:lineRule="exact"/>
              <w:rPr>
                <w:sz w:val="1"/>
                <w:szCs w:val="1"/>
                <w:color w:val="auto"/>
              </w:rPr>
            </w:pPr>
          </w:p>
        </w:tc>
        <w:tc>
          <w:tcPr>
            <w:tcW w:w="60" w:type="dxa"/>
            <w:vAlign w:val="bottom"/>
            <w:tcBorders>
              <w:bottom w:val="single" w:sz="8" w:color="CCEEFF"/>
            </w:tcBorders>
            <w:shd w:val="clear" w:color="auto" w:fill="0000FF"/>
          </w:tcPr>
          <w:p>
            <w:pPr>
              <w:spacing w:after="0" w:line="20" w:lineRule="exact"/>
              <w:rPr>
                <w:sz w:val="1"/>
                <w:szCs w:val="1"/>
                <w:color w:val="auto"/>
              </w:rPr>
            </w:pPr>
          </w:p>
        </w:tc>
        <w:tc>
          <w:tcPr>
            <w:tcW w:w="400" w:type="dxa"/>
            <w:vAlign w:val="bottom"/>
            <w:tcBorders>
              <w:bottom w:val="single" w:sz="8" w:color="CCEEFF"/>
              <w:right w:val="single" w:sz="8" w:color="0000FF"/>
            </w:tcBorders>
            <w:shd w:val="clear" w:color="auto" w:fill="0000FF"/>
          </w:tcPr>
          <w:p>
            <w:pPr>
              <w:spacing w:after="0" w:line="20" w:lineRule="exact"/>
              <w:rPr>
                <w:sz w:val="1"/>
                <w:szCs w:val="1"/>
                <w:color w:val="auto"/>
              </w:rPr>
            </w:pPr>
          </w:p>
        </w:tc>
        <w:tc>
          <w:tcPr>
            <w:tcW w:w="120" w:type="dxa"/>
            <w:vAlign w:val="bottom"/>
            <w:tcBorders>
              <w:bottom w:val="single" w:sz="8" w:color="CCEEFF"/>
            </w:tcBorders>
            <w:shd w:val="clear" w:color="auto" w:fill="CCEEFF"/>
          </w:tcPr>
          <w:p>
            <w:pPr>
              <w:spacing w:after="0" w:line="20" w:lineRule="exact"/>
              <w:rPr>
                <w:sz w:val="1"/>
                <w:szCs w:val="1"/>
                <w:color w:val="auto"/>
              </w:rPr>
            </w:pPr>
          </w:p>
        </w:tc>
        <w:tc>
          <w:tcPr>
            <w:tcW w:w="760" w:type="dxa"/>
            <w:vAlign w:val="bottom"/>
            <w:tcBorders>
              <w:bottom w:val="single" w:sz="8" w:color="CCEEFF"/>
            </w:tcBorders>
            <w:shd w:val="clear" w:color="auto" w:fill="CCEEFF"/>
          </w:tcPr>
          <w:p>
            <w:pPr>
              <w:spacing w:after="0" w:line="20" w:lineRule="exact"/>
              <w:rPr>
                <w:sz w:val="1"/>
                <w:szCs w:val="1"/>
                <w:color w:val="auto"/>
              </w:rPr>
            </w:pPr>
          </w:p>
        </w:tc>
        <w:tc>
          <w:tcPr>
            <w:tcW w:w="120" w:type="dxa"/>
            <w:vAlign w:val="bottom"/>
            <w:tcBorders>
              <w:bottom w:val="single" w:sz="8" w:color="CCEEFF"/>
            </w:tcBorders>
            <w:shd w:val="clear" w:color="auto" w:fill="CCEEFF"/>
          </w:tcPr>
          <w:p>
            <w:pPr>
              <w:spacing w:after="0" w:line="20" w:lineRule="exact"/>
              <w:rPr>
                <w:sz w:val="1"/>
                <w:szCs w:val="1"/>
                <w:color w:val="auto"/>
              </w:rPr>
            </w:pPr>
          </w:p>
        </w:tc>
        <w:tc>
          <w:tcPr>
            <w:tcW w:w="1300" w:type="dxa"/>
            <w:vAlign w:val="bottom"/>
            <w:tcBorders>
              <w:bottom w:val="single" w:sz="8" w:color="CCEEFF"/>
            </w:tcBorders>
            <w:shd w:val="clear" w:color="auto" w:fill="CCEEFF"/>
          </w:tcPr>
          <w:p>
            <w:pPr>
              <w:spacing w:after="0" w:line="20" w:lineRule="exact"/>
              <w:rPr>
                <w:sz w:val="1"/>
                <w:szCs w:val="1"/>
                <w:color w:val="auto"/>
              </w:rPr>
            </w:pPr>
          </w:p>
        </w:tc>
        <w:tc>
          <w:tcPr>
            <w:tcW w:w="2780" w:type="dxa"/>
            <w:vAlign w:val="bottom"/>
            <w:tcBorders>
              <w:bottom w:val="single" w:sz="8" w:color="CCEEFF"/>
            </w:tcBorders>
            <w:shd w:val="clear" w:color="auto" w:fill="CCEE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7540" w:type="dxa"/>
            <w:vAlign w:val="bottom"/>
            <w:gridSpan w:val="20"/>
          </w:tcPr>
          <w:p>
            <w:pPr>
              <w:spacing w:after="0" w:line="185" w:lineRule="exact"/>
              <w:rPr>
                <w:sz w:val="20"/>
                <w:szCs w:val="20"/>
                <w:color w:val="auto"/>
              </w:rPr>
            </w:pPr>
            <w:r>
              <w:rPr>
                <w:rFonts w:ascii="Arial" w:cs="Arial" w:eastAsia="Arial" w:hAnsi="Arial"/>
                <w:sz w:val="18"/>
                <w:szCs w:val="18"/>
                <w:color w:val="0000FF"/>
                <w:w w:val="97"/>
              </w:rPr>
              <w:t>Item 2. Management’s Discussion and Analysis of Financial Condition and Results of Operations</w:t>
            </w:r>
          </w:p>
        </w:tc>
        <w:tc>
          <w:tcPr>
            <w:tcW w:w="2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gridSpan w:val="3"/>
          </w:tcPr>
          <w:p>
            <w:pPr>
              <w:jc w:val="right"/>
              <w:ind w:right="20"/>
              <w:spacing w:after="0" w:line="185" w:lineRule="exact"/>
              <w:rPr>
                <w:sz w:val="20"/>
                <w:szCs w:val="20"/>
                <w:color w:val="auto"/>
              </w:rPr>
            </w:pPr>
            <w:r>
              <w:rPr>
                <w:rFonts w:ascii="Arial" w:cs="Arial" w:eastAsia="Arial" w:hAnsi="Arial"/>
                <w:sz w:val="18"/>
                <w:szCs w:val="18"/>
                <w:color w:val="0000FF"/>
                <w:w w:val="89"/>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5240" w:type="dxa"/>
            <w:vAlign w:val="bottom"/>
            <w:tcBorders>
              <w:right w:val="single" w:sz="8" w:color="CCEEFF"/>
            </w:tcBorders>
            <w:gridSpan w:val="16"/>
            <w:shd w:val="clear" w:color="auto" w:fill="CCEEFF"/>
          </w:tcPr>
          <w:p>
            <w:pPr>
              <w:spacing w:after="0" w:line="205" w:lineRule="exact"/>
              <w:rPr>
                <w:sz w:val="20"/>
                <w:szCs w:val="20"/>
                <w:color w:val="auto"/>
              </w:rPr>
            </w:pPr>
            <w:r>
              <w:rPr>
                <w:rFonts w:ascii="Arial" w:cs="Arial" w:eastAsia="Arial" w:hAnsi="Arial"/>
                <w:sz w:val="18"/>
                <w:szCs w:val="18"/>
                <w:color w:val="0000FF"/>
                <w:w w:val="97"/>
              </w:rPr>
              <w:t>Item 3. Quantitative and Qualitative Disclosures About Market Risk</w:t>
            </w:r>
          </w:p>
        </w:tc>
        <w:tc>
          <w:tcPr>
            <w:tcW w:w="2300" w:type="dxa"/>
            <w:vAlign w:val="bottom"/>
            <w:gridSpan w:val="4"/>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gridSpan w:val="3"/>
          </w:tcPr>
          <w:p>
            <w:pPr>
              <w:jc w:val="right"/>
              <w:ind w:right="20"/>
              <w:spacing w:after="0" w:line="205" w:lineRule="exact"/>
              <w:rPr>
                <w:sz w:val="20"/>
                <w:szCs w:val="20"/>
                <w:color w:val="auto"/>
              </w:rPr>
            </w:pPr>
            <w:r>
              <w:rPr>
                <w:rFonts w:ascii="Arial" w:cs="Arial" w:eastAsia="Arial" w:hAnsi="Arial"/>
                <w:sz w:val="18"/>
                <w:szCs w:val="18"/>
                <w:color w:val="0000FF"/>
                <w:w w:val="89"/>
              </w:rPr>
              <w:t>62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shd w:val="clear" w:color="auto" w:fill="CCEEFF"/>
          </w:tcPr>
          <w:p>
            <w:pPr>
              <w:spacing w:after="0" w:line="20" w:lineRule="exact"/>
              <w:rPr>
                <w:sz w:val="1"/>
                <w:szCs w:val="1"/>
                <w:color w:val="auto"/>
              </w:rPr>
            </w:pPr>
          </w:p>
        </w:tc>
        <w:tc>
          <w:tcPr>
            <w:tcW w:w="840" w:type="dxa"/>
            <w:vAlign w:val="bottom"/>
            <w:tcBorders>
              <w:bottom w:val="single" w:sz="8" w:color="CCEEFF"/>
            </w:tcBorders>
            <w:shd w:val="clear" w:color="auto" w:fill="0000FF"/>
          </w:tcPr>
          <w:p>
            <w:pPr>
              <w:spacing w:after="0" w:line="20" w:lineRule="exact"/>
              <w:rPr>
                <w:sz w:val="1"/>
                <w:szCs w:val="1"/>
                <w:color w:val="auto"/>
              </w:rPr>
            </w:pPr>
          </w:p>
        </w:tc>
        <w:tc>
          <w:tcPr>
            <w:tcW w:w="380" w:type="dxa"/>
            <w:vAlign w:val="bottom"/>
            <w:tcBorders>
              <w:bottom w:val="single" w:sz="8" w:color="CCEEFF"/>
            </w:tcBorders>
            <w:shd w:val="clear" w:color="auto" w:fill="0000FF"/>
          </w:tcPr>
          <w:p>
            <w:pPr>
              <w:spacing w:after="0" w:line="20" w:lineRule="exact"/>
              <w:rPr>
                <w:sz w:val="1"/>
                <w:szCs w:val="1"/>
                <w:color w:val="auto"/>
              </w:rPr>
            </w:pPr>
          </w:p>
        </w:tc>
        <w:tc>
          <w:tcPr>
            <w:tcW w:w="480" w:type="dxa"/>
            <w:vAlign w:val="bottom"/>
            <w:tcBorders>
              <w:bottom w:val="single" w:sz="8" w:color="CCEEFF"/>
            </w:tcBorders>
            <w:shd w:val="clear" w:color="auto" w:fill="0000FF"/>
          </w:tcPr>
          <w:p>
            <w:pPr>
              <w:spacing w:after="0" w:line="20" w:lineRule="exact"/>
              <w:rPr>
                <w:sz w:val="1"/>
                <w:szCs w:val="1"/>
                <w:color w:val="auto"/>
              </w:rPr>
            </w:pPr>
          </w:p>
        </w:tc>
        <w:tc>
          <w:tcPr>
            <w:tcW w:w="260" w:type="dxa"/>
            <w:vAlign w:val="bottom"/>
            <w:tcBorders>
              <w:bottom w:val="single" w:sz="8" w:color="CCEEFF"/>
            </w:tcBorders>
            <w:shd w:val="clear" w:color="auto" w:fill="0000FF"/>
          </w:tcPr>
          <w:p>
            <w:pPr>
              <w:spacing w:after="0" w:line="20" w:lineRule="exact"/>
              <w:rPr>
                <w:sz w:val="1"/>
                <w:szCs w:val="1"/>
                <w:color w:val="auto"/>
              </w:rPr>
            </w:pPr>
          </w:p>
        </w:tc>
        <w:tc>
          <w:tcPr>
            <w:tcW w:w="100" w:type="dxa"/>
            <w:vAlign w:val="bottom"/>
            <w:tcBorders>
              <w:bottom w:val="single" w:sz="8" w:color="CCEEFF"/>
            </w:tcBorders>
            <w:shd w:val="clear" w:color="auto" w:fill="0000FF"/>
          </w:tcPr>
          <w:p>
            <w:pPr>
              <w:spacing w:after="0" w:line="20" w:lineRule="exact"/>
              <w:rPr>
                <w:sz w:val="1"/>
                <w:szCs w:val="1"/>
                <w:color w:val="auto"/>
              </w:rPr>
            </w:pPr>
          </w:p>
        </w:tc>
        <w:tc>
          <w:tcPr>
            <w:tcW w:w="420" w:type="dxa"/>
            <w:vAlign w:val="bottom"/>
            <w:tcBorders>
              <w:bottom w:val="single" w:sz="8" w:color="CCEEFF"/>
            </w:tcBorders>
            <w:shd w:val="clear" w:color="auto" w:fill="0000FF"/>
          </w:tcPr>
          <w:p>
            <w:pPr>
              <w:spacing w:after="0" w:line="20" w:lineRule="exact"/>
              <w:rPr>
                <w:sz w:val="1"/>
                <w:szCs w:val="1"/>
                <w:color w:val="auto"/>
              </w:rPr>
            </w:pPr>
          </w:p>
        </w:tc>
        <w:tc>
          <w:tcPr>
            <w:tcW w:w="620" w:type="dxa"/>
            <w:vAlign w:val="bottom"/>
            <w:tcBorders>
              <w:left w:val="single" w:sz="8" w:color="0000FF"/>
              <w:bottom w:val="single" w:sz="8" w:color="CCEEFF"/>
            </w:tcBorders>
            <w:shd w:val="clear" w:color="auto" w:fill="0000FF"/>
          </w:tcPr>
          <w:p>
            <w:pPr>
              <w:spacing w:after="0" w:line="20" w:lineRule="exact"/>
              <w:rPr>
                <w:sz w:val="1"/>
                <w:szCs w:val="1"/>
                <w:color w:val="auto"/>
              </w:rPr>
            </w:pPr>
          </w:p>
        </w:tc>
        <w:tc>
          <w:tcPr>
            <w:tcW w:w="160" w:type="dxa"/>
            <w:vAlign w:val="bottom"/>
            <w:tcBorders>
              <w:bottom w:val="single" w:sz="8" w:color="CCEEFF"/>
            </w:tcBorders>
            <w:shd w:val="clear" w:color="auto" w:fill="0000FF"/>
          </w:tcPr>
          <w:p>
            <w:pPr>
              <w:spacing w:after="0" w:line="20" w:lineRule="exact"/>
              <w:rPr>
                <w:sz w:val="1"/>
                <w:szCs w:val="1"/>
                <w:color w:val="auto"/>
              </w:rPr>
            </w:pPr>
          </w:p>
        </w:tc>
        <w:tc>
          <w:tcPr>
            <w:tcW w:w="20" w:type="dxa"/>
            <w:vAlign w:val="bottom"/>
            <w:tcBorders>
              <w:bottom w:val="single" w:sz="8" w:color="CCEEFF"/>
            </w:tcBorders>
            <w:shd w:val="clear" w:color="auto" w:fill="0000FF"/>
          </w:tcPr>
          <w:p>
            <w:pPr>
              <w:spacing w:after="0" w:line="20" w:lineRule="exact"/>
              <w:rPr>
                <w:sz w:val="1"/>
                <w:szCs w:val="1"/>
                <w:color w:val="auto"/>
              </w:rPr>
            </w:pPr>
          </w:p>
        </w:tc>
        <w:tc>
          <w:tcPr>
            <w:tcW w:w="760" w:type="dxa"/>
            <w:vAlign w:val="bottom"/>
            <w:tcBorders>
              <w:bottom w:val="single" w:sz="8" w:color="CCEEFF"/>
            </w:tcBorders>
            <w:shd w:val="clear" w:color="auto" w:fill="0000FF"/>
          </w:tcPr>
          <w:p>
            <w:pPr>
              <w:spacing w:after="0" w:line="20" w:lineRule="exact"/>
              <w:rPr>
                <w:sz w:val="1"/>
                <w:szCs w:val="1"/>
                <w:color w:val="auto"/>
              </w:rPr>
            </w:pPr>
          </w:p>
        </w:tc>
        <w:tc>
          <w:tcPr>
            <w:tcW w:w="40" w:type="dxa"/>
            <w:vAlign w:val="bottom"/>
            <w:tcBorders>
              <w:bottom w:val="single" w:sz="8" w:color="CCEEFF"/>
            </w:tcBorders>
            <w:shd w:val="clear" w:color="auto" w:fill="0000FF"/>
          </w:tcPr>
          <w:p>
            <w:pPr>
              <w:spacing w:after="0" w:line="20" w:lineRule="exact"/>
              <w:rPr>
                <w:sz w:val="1"/>
                <w:szCs w:val="1"/>
                <w:color w:val="auto"/>
              </w:rPr>
            </w:pPr>
          </w:p>
        </w:tc>
        <w:tc>
          <w:tcPr>
            <w:tcW w:w="20" w:type="dxa"/>
            <w:vAlign w:val="bottom"/>
            <w:tcBorders>
              <w:bottom w:val="single" w:sz="8" w:color="CCEEFF"/>
            </w:tcBorders>
            <w:shd w:val="clear" w:color="auto" w:fill="0000FF"/>
          </w:tcPr>
          <w:p>
            <w:pPr>
              <w:spacing w:after="0" w:line="20" w:lineRule="exact"/>
              <w:rPr>
                <w:sz w:val="1"/>
                <w:szCs w:val="1"/>
                <w:color w:val="auto"/>
              </w:rPr>
            </w:pPr>
          </w:p>
        </w:tc>
        <w:tc>
          <w:tcPr>
            <w:tcW w:w="80" w:type="dxa"/>
            <w:vAlign w:val="bottom"/>
            <w:tcBorders>
              <w:bottom w:val="single" w:sz="8" w:color="CCEEFF"/>
            </w:tcBorders>
            <w:shd w:val="clear" w:color="auto" w:fill="0000FF"/>
          </w:tcPr>
          <w:p>
            <w:pPr>
              <w:spacing w:after="0" w:line="20" w:lineRule="exact"/>
              <w:rPr>
                <w:sz w:val="1"/>
                <w:szCs w:val="1"/>
                <w:color w:val="auto"/>
              </w:rPr>
            </w:pPr>
          </w:p>
        </w:tc>
        <w:tc>
          <w:tcPr>
            <w:tcW w:w="600" w:type="dxa"/>
            <w:vAlign w:val="bottom"/>
            <w:tcBorders>
              <w:bottom w:val="single" w:sz="8" w:color="CCEEFF"/>
            </w:tcBorders>
            <w:shd w:val="clear" w:color="auto" w:fill="0000FF"/>
          </w:tcPr>
          <w:p>
            <w:pPr>
              <w:spacing w:after="0" w:line="20" w:lineRule="exact"/>
              <w:rPr>
                <w:sz w:val="1"/>
                <w:szCs w:val="1"/>
                <w:color w:val="auto"/>
              </w:rPr>
            </w:pPr>
          </w:p>
        </w:tc>
        <w:tc>
          <w:tcPr>
            <w:tcW w:w="60" w:type="dxa"/>
            <w:vAlign w:val="bottom"/>
            <w:tcBorders>
              <w:bottom w:val="single" w:sz="8" w:color="CCEEFF"/>
            </w:tcBorders>
            <w:shd w:val="clear" w:color="auto" w:fill="0000FF"/>
          </w:tcPr>
          <w:p>
            <w:pPr>
              <w:spacing w:after="0" w:line="20" w:lineRule="exact"/>
              <w:rPr>
                <w:sz w:val="1"/>
                <w:szCs w:val="1"/>
                <w:color w:val="auto"/>
              </w:rPr>
            </w:pPr>
          </w:p>
        </w:tc>
        <w:tc>
          <w:tcPr>
            <w:tcW w:w="400" w:type="dxa"/>
            <w:vAlign w:val="bottom"/>
            <w:tcBorders>
              <w:bottom w:val="single" w:sz="8" w:color="CCEEFF"/>
              <w:right w:val="single" w:sz="8" w:color="CCEEFF"/>
            </w:tcBorders>
            <w:shd w:val="clear" w:color="auto" w:fill="0000FF"/>
          </w:tcPr>
          <w:p>
            <w:pPr>
              <w:spacing w:after="0" w:line="20" w:lineRule="exact"/>
              <w:rPr>
                <w:sz w:val="1"/>
                <w:szCs w:val="1"/>
                <w:color w:val="auto"/>
              </w:rPr>
            </w:pPr>
          </w:p>
        </w:tc>
        <w:tc>
          <w:tcPr>
            <w:tcW w:w="120" w:type="dxa"/>
            <w:vAlign w:val="bottom"/>
            <w:tcBorders>
              <w:bottom w:val="single" w:sz="8" w:color="CCEEFF"/>
            </w:tcBorders>
            <w:shd w:val="clear" w:color="auto" w:fill="CCEEFF"/>
          </w:tcPr>
          <w:p>
            <w:pPr>
              <w:spacing w:after="0" w:line="20" w:lineRule="exact"/>
              <w:rPr>
                <w:sz w:val="1"/>
                <w:szCs w:val="1"/>
                <w:color w:val="auto"/>
              </w:rPr>
            </w:pPr>
          </w:p>
        </w:tc>
        <w:tc>
          <w:tcPr>
            <w:tcW w:w="760" w:type="dxa"/>
            <w:vAlign w:val="bottom"/>
            <w:tcBorders>
              <w:bottom w:val="single" w:sz="8" w:color="CCEEFF"/>
            </w:tcBorders>
            <w:shd w:val="clear" w:color="auto" w:fill="CCEEFF"/>
          </w:tcPr>
          <w:p>
            <w:pPr>
              <w:spacing w:after="0" w:line="20" w:lineRule="exact"/>
              <w:rPr>
                <w:sz w:val="1"/>
                <w:szCs w:val="1"/>
                <w:color w:val="auto"/>
              </w:rPr>
            </w:pPr>
          </w:p>
        </w:tc>
        <w:tc>
          <w:tcPr>
            <w:tcW w:w="120" w:type="dxa"/>
            <w:vAlign w:val="bottom"/>
            <w:tcBorders>
              <w:bottom w:val="single" w:sz="8" w:color="CCEEFF"/>
            </w:tcBorders>
            <w:shd w:val="clear" w:color="auto" w:fill="CCEEFF"/>
          </w:tcPr>
          <w:p>
            <w:pPr>
              <w:spacing w:after="0" w:line="20" w:lineRule="exact"/>
              <w:rPr>
                <w:sz w:val="1"/>
                <w:szCs w:val="1"/>
                <w:color w:val="auto"/>
              </w:rPr>
            </w:pPr>
          </w:p>
        </w:tc>
        <w:tc>
          <w:tcPr>
            <w:tcW w:w="1300" w:type="dxa"/>
            <w:vAlign w:val="bottom"/>
            <w:tcBorders>
              <w:bottom w:val="single" w:sz="8" w:color="CCEEFF"/>
            </w:tcBorders>
            <w:shd w:val="clear" w:color="auto" w:fill="CCEEFF"/>
          </w:tcPr>
          <w:p>
            <w:pPr>
              <w:spacing w:after="0" w:line="20" w:lineRule="exact"/>
              <w:rPr>
                <w:sz w:val="1"/>
                <w:szCs w:val="1"/>
                <w:color w:val="auto"/>
              </w:rPr>
            </w:pPr>
          </w:p>
        </w:tc>
        <w:tc>
          <w:tcPr>
            <w:tcW w:w="2780" w:type="dxa"/>
            <w:vAlign w:val="bottom"/>
            <w:tcBorders>
              <w:bottom w:val="single" w:sz="8" w:color="CCEEFF"/>
            </w:tcBorders>
            <w:shd w:val="clear" w:color="auto" w:fill="CCEE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10320" w:type="dxa"/>
            <w:vAlign w:val="bottom"/>
            <w:gridSpan w:val="21"/>
          </w:tcPr>
          <w:p>
            <w:pPr>
              <w:spacing w:after="0" w:line="185" w:lineRule="exact"/>
              <w:rPr>
                <w:sz w:val="20"/>
                <w:szCs w:val="20"/>
                <w:color w:val="auto"/>
              </w:rPr>
            </w:pPr>
            <w:r>
              <w:rPr>
                <w:rFonts w:ascii="Arial" w:cs="Arial" w:eastAsia="Arial" w:hAnsi="Arial"/>
                <w:sz w:val="18"/>
                <w:szCs w:val="18"/>
                <w:color w:val="0000FF"/>
              </w:rPr>
              <w:t>Item 4. Controls and Procedures</w:t>
            </w:r>
          </w:p>
        </w:tc>
        <w:tc>
          <w:tcPr>
            <w:tcW w:w="680" w:type="dxa"/>
            <w:vAlign w:val="bottom"/>
          </w:tcPr>
          <w:p>
            <w:pPr>
              <w:spacing w:after="0"/>
              <w:rPr>
                <w:sz w:val="16"/>
                <w:szCs w:val="16"/>
                <w:color w:val="auto"/>
              </w:rPr>
            </w:pPr>
          </w:p>
        </w:tc>
        <w:tc>
          <w:tcPr>
            <w:tcW w:w="220" w:type="dxa"/>
            <w:vAlign w:val="bottom"/>
            <w:gridSpan w:val="3"/>
          </w:tcPr>
          <w:p>
            <w:pPr>
              <w:jc w:val="right"/>
              <w:ind w:right="20"/>
              <w:spacing w:after="0" w:line="185" w:lineRule="exact"/>
              <w:rPr>
                <w:sz w:val="20"/>
                <w:szCs w:val="20"/>
                <w:color w:val="auto"/>
              </w:rPr>
            </w:pPr>
            <w:r>
              <w:rPr>
                <w:rFonts w:ascii="Arial" w:cs="Arial" w:eastAsia="Arial" w:hAnsi="Arial"/>
                <w:sz w:val="18"/>
                <w:szCs w:val="18"/>
                <w:color w:val="0000FF"/>
                <w:w w:val="89"/>
              </w:rPr>
              <w:t>64</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620" w:type="dxa"/>
            <w:vAlign w:val="bottom"/>
            <w:tcBorders>
              <w:left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140" w:type="dxa"/>
            <w:vAlign w:val="bottom"/>
            <w:gridSpan w:val="8"/>
            <w:shd w:val="clear" w:color="auto" w:fill="CCEEFF"/>
          </w:tcPr>
          <w:p>
            <w:pPr>
              <w:jc w:val="center"/>
              <w:ind w:right="4200"/>
              <w:spacing w:after="0" w:line="195" w:lineRule="exact"/>
              <w:rPr>
                <w:sz w:val="20"/>
                <w:szCs w:val="20"/>
                <w:color w:val="auto"/>
              </w:rPr>
            </w:pPr>
            <w:r>
              <w:rPr>
                <w:rFonts w:ascii="Arial" w:cs="Arial" w:eastAsia="Arial" w:hAnsi="Arial"/>
                <w:sz w:val="18"/>
                <w:szCs w:val="18"/>
                <w:color w:val="0000FF"/>
                <w:w w:val="97"/>
              </w:rPr>
              <w:t>Part II. Other Information</w:t>
            </w:r>
          </w:p>
        </w:tc>
        <w:tc>
          <w:tcPr>
            <w:tcW w:w="680" w:type="dxa"/>
            <w:vAlign w:val="bottom"/>
            <w:vMerge w:val="restart"/>
          </w:tcPr>
          <w:p>
            <w:pPr>
              <w:spacing w:after="0"/>
              <w:rPr>
                <w:sz w:val="18"/>
                <w:szCs w:val="18"/>
                <w:color w:val="auto"/>
              </w:rPr>
            </w:pPr>
          </w:p>
        </w:tc>
        <w:tc>
          <w:tcPr>
            <w:tcW w:w="2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0000FF"/>
                <w:w w:val="89"/>
              </w:rPr>
              <w:t>65</w:t>
            </w:r>
          </w:p>
        </w:tc>
        <w:tc>
          <w:tcPr>
            <w:tcW w:w="0" w:type="dxa"/>
            <w:vAlign w:val="bottom"/>
          </w:tcPr>
          <w:p>
            <w:pPr>
              <w:spacing w:after="0"/>
              <w:rPr>
                <w:sz w:val="1"/>
                <w:szCs w:val="1"/>
                <w:color w:val="auto"/>
              </w:rPr>
            </w:pPr>
          </w:p>
        </w:tc>
      </w:tr>
      <w:tr>
        <w:trPr>
          <w:trHeight w:val="186"/>
        </w:trPr>
        <w:tc>
          <w:tcPr>
            <w:tcW w:w="20" w:type="dxa"/>
            <w:vAlign w:val="bottom"/>
            <w:tcBorders>
              <w:top w:val="single" w:sz="8" w:color="CCEEFF"/>
            </w:tcBorders>
          </w:tcPr>
          <w:p>
            <w:pPr>
              <w:spacing w:after="0"/>
              <w:rPr>
                <w:sz w:val="16"/>
                <w:szCs w:val="16"/>
                <w:color w:val="auto"/>
              </w:rPr>
            </w:pPr>
          </w:p>
        </w:tc>
        <w:tc>
          <w:tcPr>
            <w:tcW w:w="2060" w:type="dxa"/>
            <w:vAlign w:val="bottom"/>
            <w:tcBorders>
              <w:top w:val="single" w:sz="8" w:color="CCEEFF"/>
            </w:tcBorders>
            <w:gridSpan w:val="5"/>
          </w:tcPr>
          <w:p>
            <w:pPr>
              <w:spacing w:after="0" w:line="186" w:lineRule="exact"/>
              <w:rPr>
                <w:sz w:val="20"/>
                <w:szCs w:val="20"/>
                <w:color w:val="auto"/>
              </w:rPr>
            </w:pPr>
            <w:r>
              <w:rPr>
                <w:rFonts w:ascii="Arial" w:cs="Arial" w:eastAsia="Arial" w:hAnsi="Arial"/>
                <w:sz w:val="18"/>
                <w:szCs w:val="18"/>
                <w:color w:val="0000FF"/>
                <w:w w:val="97"/>
              </w:rPr>
              <w:t>Item 1. Legal Proceedings</w:t>
            </w:r>
          </w:p>
        </w:tc>
        <w:tc>
          <w:tcPr>
            <w:tcW w:w="2120" w:type="dxa"/>
            <w:vAlign w:val="bottom"/>
            <w:tcBorders>
              <w:top w:val="single" w:sz="8" w:color="CCEEFF"/>
            </w:tcBorders>
            <w:gridSpan w:val="8"/>
          </w:tcPr>
          <w:p>
            <w:pPr>
              <w:spacing w:after="0"/>
              <w:rPr>
                <w:sz w:val="16"/>
                <w:szCs w:val="16"/>
                <w:color w:val="auto"/>
              </w:rPr>
            </w:pPr>
          </w:p>
        </w:tc>
        <w:tc>
          <w:tcPr>
            <w:tcW w:w="1940" w:type="dxa"/>
            <w:vAlign w:val="bottom"/>
            <w:tcBorders>
              <w:top w:val="single" w:sz="8" w:color="0000FF"/>
            </w:tcBorders>
            <w:gridSpan w:val="5"/>
          </w:tcPr>
          <w:p>
            <w:pPr>
              <w:spacing w:after="0"/>
              <w:rPr>
                <w:sz w:val="16"/>
                <w:szCs w:val="16"/>
                <w:color w:val="auto"/>
              </w:rPr>
            </w:pPr>
          </w:p>
        </w:tc>
        <w:tc>
          <w:tcPr>
            <w:tcW w:w="4200" w:type="dxa"/>
            <w:vAlign w:val="bottom"/>
            <w:tcBorders>
              <w:top w:val="single" w:sz="8" w:color="CCEEFF"/>
            </w:tcBorders>
            <w:gridSpan w:val="3"/>
          </w:tcPr>
          <w:p>
            <w:pPr>
              <w:spacing w:after="0"/>
              <w:rPr>
                <w:sz w:val="16"/>
                <w:szCs w:val="16"/>
                <w:color w:val="auto"/>
              </w:rPr>
            </w:pPr>
          </w:p>
        </w:tc>
        <w:tc>
          <w:tcPr>
            <w:tcW w:w="680" w:type="dxa"/>
            <w:vAlign w:val="bottom"/>
            <w:vMerge w:val="continue"/>
          </w:tcPr>
          <w:p>
            <w:pPr>
              <w:spacing w:after="0"/>
              <w:rPr>
                <w:sz w:val="16"/>
                <w:szCs w:val="16"/>
                <w:color w:val="auto"/>
              </w:rPr>
            </w:pPr>
          </w:p>
        </w:tc>
        <w:tc>
          <w:tcPr>
            <w:tcW w:w="2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060" w:type="dxa"/>
            <w:vAlign w:val="bottom"/>
            <w:gridSpan w:val="5"/>
            <w:shd w:val="clear" w:color="auto" w:fill="CCEEFF"/>
          </w:tcPr>
          <w:p>
            <w:pPr>
              <w:spacing w:after="0"/>
              <w:rPr>
                <w:sz w:val="20"/>
                <w:szCs w:val="20"/>
                <w:color w:val="auto"/>
              </w:rPr>
            </w:pPr>
            <w:r>
              <w:rPr>
                <w:rFonts w:ascii="Arial" w:cs="Arial" w:eastAsia="Arial" w:hAnsi="Arial"/>
                <w:sz w:val="18"/>
                <w:szCs w:val="18"/>
                <w:color w:val="0000FF"/>
              </w:rPr>
              <w:t>Item 1A. Risk Factors</w:t>
            </w:r>
          </w:p>
        </w:tc>
        <w:tc>
          <w:tcPr>
            <w:tcW w:w="8260" w:type="dxa"/>
            <w:vAlign w:val="bottom"/>
            <w:gridSpan w:val="16"/>
            <w:shd w:val="clear" w:color="auto" w:fill="CCEEFF"/>
          </w:tcPr>
          <w:p>
            <w:pPr>
              <w:spacing w:after="0"/>
              <w:rPr>
                <w:sz w:val="18"/>
                <w:szCs w:val="18"/>
                <w:color w:val="auto"/>
              </w:rPr>
            </w:pPr>
          </w:p>
        </w:tc>
        <w:tc>
          <w:tcPr>
            <w:tcW w:w="680" w:type="dxa"/>
            <w:vAlign w:val="bottom"/>
            <w:vMerge w:val="restart"/>
          </w:tcPr>
          <w:p>
            <w:pPr>
              <w:spacing w:after="0"/>
              <w:rPr>
                <w:sz w:val="18"/>
                <w:szCs w:val="18"/>
                <w:color w:val="auto"/>
              </w:rPr>
            </w:pPr>
          </w:p>
        </w:tc>
        <w:tc>
          <w:tcPr>
            <w:tcW w:w="2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0000FF"/>
                <w:w w:val="89"/>
              </w:rPr>
              <w:t>65</w:t>
            </w:r>
          </w:p>
        </w:tc>
        <w:tc>
          <w:tcPr>
            <w:tcW w:w="0" w:type="dxa"/>
            <w:vAlign w:val="bottom"/>
          </w:tcPr>
          <w:p>
            <w:pPr>
              <w:spacing w:after="0"/>
              <w:rPr>
                <w:sz w:val="1"/>
                <w:szCs w:val="1"/>
                <w:color w:val="auto"/>
              </w:rPr>
            </w:pPr>
          </w:p>
        </w:tc>
      </w:tr>
      <w:tr>
        <w:trPr>
          <w:trHeight w:val="166"/>
        </w:trPr>
        <w:tc>
          <w:tcPr>
            <w:tcW w:w="2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0000FF"/>
            </w:tcBorders>
            <w:shd w:val="clear" w:color="auto" w:fill="CCEEFF"/>
          </w:tcPr>
          <w:p>
            <w:pPr>
              <w:spacing w:after="0"/>
              <w:rPr>
                <w:sz w:val="14"/>
                <w:szCs w:val="14"/>
                <w:color w:val="auto"/>
              </w:rPr>
            </w:pPr>
          </w:p>
        </w:tc>
        <w:tc>
          <w:tcPr>
            <w:tcW w:w="380" w:type="dxa"/>
            <w:vAlign w:val="bottom"/>
            <w:tcBorders>
              <w:top w:val="single" w:sz="8" w:color="0000FF"/>
            </w:tcBorders>
            <w:shd w:val="clear" w:color="auto" w:fill="CCEEFF"/>
          </w:tcPr>
          <w:p>
            <w:pPr>
              <w:spacing w:after="0"/>
              <w:rPr>
                <w:sz w:val="14"/>
                <w:szCs w:val="14"/>
                <w:color w:val="auto"/>
              </w:rPr>
            </w:pPr>
          </w:p>
        </w:tc>
        <w:tc>
          <w:tcPr>
            <w:tcW w:w="480" w:type="dxa"/>
            <w:vAlign w:val="bottom"/>
            <w:tcBorders>
              <w:top w:val="single" w:sz="8" w:color="0000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CCEEFF"/>
              <w:left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right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CCEEFF"/>
            </w:tcBorders>
            <w:shd w:val="clear" w:color="auto" w:fill="CCEEFF"/>
          </w:tcPr>
          <w:p>
            <w:pPr>
              <w:spacing w:after="0"/>
              <w:rPr>
                <w:sz w:val="14"/>
                <w:szCs w:val="14"/>
                <w:color w:val="auto"/>
              </w:rPr>
            </w:pPr>
          </w:p>
        </w:tc>
        <w:tc>
          <w:tcPr>
            <w:tcW w:w="2780" w:type="dxa"/>
            <w:vAlign w:val="bottom"/>
            <w:tcBorders>
              <w:top w:val="single" w:sz="8" w:color="CCEEFF"/>
            </w:tcBorders>
            <w:shd w:val="clear" w:color="auto" w:fill="CCEEFF"/>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620" w:type="dxa"/>
            <w:vAlign w:val="bottom"/>
            <w:tcBorders>
              <w:left w:val="single" w:sz="8" w:color="CCEEFF"/>
            </w:tcBorders>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2780" w:type="dxa"/>
            <w:vAlign w:val="bottom"/>
            <w:shd w:val="clear" w:color="auto" w:fill="CCEEFF"/>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5360" w:type="dxa"/>
            <w:vAlign w:val="bottom"/>
            <w:tcBorders>
              <w:bottom w:val="single" w:sz="8" w:color="0000FF"/>
            </w:tcBorders>
            <w:gridSpan w:val="17"/>
          </w:tcPr>
          <w:p>
            <w:pPr>
              <w:spacing w:after="0" w:line="179" w:lineRule="exact"/>
              <w:rPr>
                <w:sz w:val="20"/>
                <w:szCs w:val="20"/>
                <w:color w:val="auto"/>
              </w:rPr>
            </w:pPr>
            <w:r>
              <w:rPr>
                <w:rFonts w:ascii="Arial" w:cs="Arial" w:eastAsia="Arial" w:hAnsi="Arial"/>
                <w:sz w:val="18"/>
                <w:szCs w:val="18"/>
                <w:color w:val="0000FF"/>
                <w:w w:val="97"/>
              </w:rPr>
              <w:t>Item 2. Unregistered Sales of Equity Securities and Use of Proceeds</w:t>
            </w:r>
          </w:p>
        </w:tc>
        <w:tc>
          <w:tcPr>
            <w:tcW w:w="4960" w:type="dxa"/>
            <w:vAlign w:val="bottom"/>
            <w:gridSpan w:val="4"/>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gridSpan w:val="3"/>
          </w:tcPr>
          <w:p>
            <w:pPr>
              <w:jc w:val="right"/>
              <w:ind w:right="20"/>
              <w:spacing w:after="0" w:line="192" w:lineRule="exact"/>
              <w:rPr>
                <w:sz w:val="20"/>
                <w:szCs w:val="20"/>
                <w:color w:val="auto"/>
              </w:rPr>
            </w:pPr>
            <w:r>
              <w:rPr>
                <w:rFonts w:ascii="Arial" w:cs="Arial" w:eastAsia="Arial" w:hAnsi="Arial"/>
                <w:sz w:val="18"/>
                <w:szCs w:val="18"/>
                <w:color w:val="0000FF"/>
                <w:w w:val="89"/>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Borders>
              <w:bottom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100" w:type="dxa"/>
            <w:vAlign w:val="bottom"/>
            <w:gridSpan w:val="7"/>
            <w:shd w:val="clear" w:color="auto" w:fill="CCEEFF"/>
          </w:tcPr>
          <w:p>
            <w:pPr>
              <w:spacing w:after="0" w:line="192" w:lineRule="exact"/>
              <w:rPr>
                <w:sz w:val="20"/>
                <w:szCs w:val="20"/>
                <w:color w:val="auto"/>
              </w:rPr>
            </w:pPr>
            <w:r>
              <w:rPr>
                <w:rFonts w:ascii="Arial" w:cs="Arial" w:eastAsia="Arial" w:hAnsi="Arial"/>
                <w:sz w:val="18"/>
                <w:szCs w:val="18"/>
                <w:color w:val="0000FF"/>
                <w:w w:val="97"/>
              </w:rPr>
              <w:t>Item 3. Defaults Upon Senior Securities</w:t>
            </w:r>
          </w:p>
        </w:tc>
        <w:tc>
          <w:tcPr>
            <w:tcW w:w="7220" w:type="dxa"/>
            <w:vAlign w:val="bottom"/>
            <w:gridSpan w:val="14"/>
            <w:shd w:val="clear" w:color="auto" w:fill="CCEEFF"/>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gridSpan w:val="3"/>
          </w:tcPr>
          <w:p>
            <w:pPr>
              <w:jc w:val="right"/>
              <w:ind w:right="20"/>
              <w:spacing w:after="0" w:line="192" w:lineRule="exact"/>
              <w:rPr>
                <w:sz w:val="20"/>
                <w:szCs w:val="20"/>
                <w:color w:val="auto"/>
              </w:rPr>
            </w:pPr>
            <w:r>
              <w:rPr>
                <w:rFonts w:ascii="Arial" w:cs="Arial" w:eastAsia="Arial" w:hAnsi="Arial"/>
                <w:sz w:val="18"/>
                <w:szCs w:val="18"/>
                <w:color w:val="0000FF"/>
                <w:w w:val="89"/>
              </w:rPr>
              <w:t>77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shd w:val="clear" w:color="auto" w:fill="CCEEFF"/>
          </w:tcPr>
          <w:p>
            <w:pPr>
              <w:spacing w:after="0" w:line="20" w:lineRule="exact"/>
              <w:rPr>
                <w:sz w:val="1"/>
                <w:szCs w:val="1"/>
                <w:color w:val="auto"/>
              </w:rPr>
            </w:pPr>
          </w:p>
        </w:tc>
        <w:tc>
          <w:tcPr>
            <w:tcW w:w="840" w:type="dxa"/>
            <w:vAlign w:val="bottom"/>
            <w:tcBorders>
              <w:bottom w:val="single" w:sz="8" w:color="CCEEFF"/>
            </w:tcBorders>
            <w:shd w:val="clear" w:color="auto" w:fill="0000FF"/>
          </w:tcPr>
          <w:p>
            <w:pPr>
              <w:spacing w:after="0" w:line="20" w:lineRule="exact"/>
              <w:rPr>
                <w:sz w:val="1"/>
                <w:szCs w:val="1"/>
                <w:color w:val="auto"/>
              </w:rPr>
            </w:pPr>
          </w:p>
        </w:tc>
        <w:tc>
          <w:tcPr>
            <w:tcW w:w="380" w:type="dxa"/>
            <w:vAlign w:val="bottom"/>
            <w:tcBorders>
              <w:bottom w:val="single" w:sz="8" w:color="CCEEFF"/>
            </w:tcBorders>
            <w:shd w:val="clear" w:color="auto" w:fill="0000FF"/>
          </w:tcPr>
          <w:p>
            <w:pPr>
              <w:spacing w:after="0" w:line="20" w:lineRule="exact"/>
              <w:rPr>
                <w:sz w:val="1"/>
                <w:szCs w:val="1"/>
                <w:color w:val="auto"/>
              </w:rPr>
            </w:pPr>
          </w:p>
        </w:tc>
        <w:tc>
          <w:tcPr>
            <w:tcW w:w="480" w:type="dxa"/>
            <w:vAlign w:val="bottom"/>
            <w:tcBorders>
              <w:bottom w:val="single" w:sz="8" w:color="CCEEFF"/>
            </w:tcBorders>
            <w:shd w:val="clear" w:color="auto" w:fill="0000FF"/>
          </w:tcPr>
          <w:p>
            <w:pPr>
              <w:spacing w:after="0" w:line="20" w:lineRule="exact"/>
              <w:rPr>
                <w:sz w:val="1"/>
                <w:szCs w:val="1"/>
                <w:color w:val="auto"/>
              </w:rPr>
            </w:pPr>
          </w:p>
        </w:tc>
        <w:tc>
          <w:tcPr>
            <w:tcW w:w="260" w:type="dxa"/>
            <w:vAlign w:val="bottom"/>
            <w:tcBorders>
              <w:bottom w:val="single" w:sz="8" w:color="CCEEFF"/>
            </w:tcBorders>
            <w:shd w:val="clear" w:color="auto" w:fill="0000FF"/>
          </w:tcPr>
          <w:p>
            <w:pPr>
              <w:spacing w:after="0" w:line="20" w:lineRule="exact"/>
              <w:rPr>
                <w:sz w:val="1"/>
                <w:szCs w:val="1"/>
                <w:color w:val="auto"/>
              </w:rPr>
            </w:pPr>
          </w:p>
        </w:tc>
        <w:tc>
          <w:tcPr>
            <w:tcW w:w="100" w:type="dxa"/>
            <w:vAlign w:val="bottom"/>
            <w:tcBorders>
              <w:bottom w:val="single" w:sz="8" w:color="CCEEFF"/>
            </w:tcBorders>
            <w:shd w:val="clear" w:color="auto" w:fill="0000FF"/>
          </w:tcPr>
          <w:p>
            <w:pPr>
              <w:spacing w:after="0" w:line="20" w:lineRule="exact"/>
              <w:rPr>
                <w:sz w:val="1"/>
                <w:szCs w:val="1"/>
                <w:color w:val="auto"/>
              </w:rPr>
            </w:pPr>
          </w:p>
        </w:tc>
        <w:tc>
          <w:tcPr>
            <w:tcW w:w="420" w:type="dxa"/>
            <w:vAlign w:val="bottom"/>
            <w:tcBorders>
              <w:bottom w:val="single" w:sz="8" w:color="CCEEFF"/>
            </w:tcBorders>
            <w:shd w:val="clear" w:color="auto" w:fill="0000FF"/>
          </w:tcPr>
          <w:p>
            <w:pPr>
              <w:spacing w:after="0" w:line="20" w:lineRule="exact"/>
              <w:rPr>
                <w:sz w:val="1"/>
                <w:szCs w:val="1"/>
                <w:color w:val="auto"/>
              </w:rPr>
            </w:pPr>
          </w:p>
        </w:tc>
        <w:tc>
          <w:tcPr>
            <w:tcW w:w="620" w:type="dxa"/>
            <w:vAlign w:val="bottom"/>
            <w:tcBorders>
              <w:left w:val="single" w:sz="8" w:color="0000FF"/>
              <w:bottom w:val="single" w:sz="8" w:color="CCEEFF"/>
            </w:tcBorders>
            <w:shd w:val="clear" w:color="auto" w:fill="0000FF"/>
          </w:tcPr>
          <w:p>
            <w:pPr>
              <w:spacing w:after="0" w:line="20" w:lineRule="exact"/>
              <w:rPr>
                <w:sz w:val="1"/>
                <w:szCs w:val="1"/>
                <w:color w:val="auto"/>
              </w:rPr>
            </w:pPr>
          </w:p>
        </w:tc>
        <w:tc>
          <w:tcPr>
            <w:tcW w:w="160" w:type="dxa"/>
            <w:vAlign w:val="bottom"/>
            <w:tcBorders>
              <w:bottom w:val="single" w:sz="8" w:color="CCEEFF"/>
            </w:tcBorders>
            <w:shd w:val="clear" w:color="auto" w:fill="CCEEFF"/>
          </w:tcPr>
          <w:p>
            <w:pPr>
              <w:spacing w:after="0" w:line="20" w:lineRule="exact"/>
              <w:rPr>
                <w:sz w:val="1"/>
                <w:szCs w:val="1"/>
                <w:color w:val="auto"/>
              </w:rPr>
            </w:pPr>
          </w:p>
        </w:tc>
        <w:tc>
          <w:tcPr>
            <w:tcW w:w="20" w:type="dxa"/>
            <w:vAlign w:val="bottom"/>
            <w:tcBorders>
              <w:bottom w:val="single" w:sz="8" w:color="CCEEFF"/>
            </w:tcBorders>
            <w:shd w:val="clear" w:color="auto" w:fill="CCEEFF"/>
          </w:tcPr>
          <w:p>
            <w:pPr>
              <w:spacing w:after="0" w:line="20" w:lineRule="exact"/>
              <w:rPr>
                <w:sz w:val="1"/>
                <w:szCs w:val="1"/>
                <w:color w:val="auto"/>
              </w:rPr>
            </w:pPr>
          </w:p>
        </w:tc>
        <w:tc>
          <w:tcPr>
            <w:tcW w:w="760" w:type="dxa"/>
            <w:vAlign w:val="bottom"/>
            <w:tcBorders>
              <w:bottom w:val="single" w:sz="8" w:color="CCEEFF"/>
            </w:tcBorders>
            <w:shd w:val="clear" w:color="auto" w:fill="CCEEFF"/>
          </w:tcPr>
          <w:p>
            <w:pPr>
              <w:spacing w:after="0" w:line="20" w:lineRule="exact"/>
              <w:rPr>
                <w:sz w:val="1"/>
                <w:szCs w:val="1"/>
                <w:color w:val="auto"/>
              </w:rPr>
            </w:pPr>
          </w:p>
        </w:tc>
        <w:tc>
          <w:tcPr>
            <w:tcW w:w="40" w:type="dxa"/>
            <w:vAlign w:val="bottom"/>
            <w:tcBorders>
              <w:bottom w:val="single" w:sz="8" w:color="CCEEFF"/>
            </w:tcBorders>
            <w:shd w:val="clear" w:color="auto" w:fill="CCEEFF"/>
          </w:tcPr>
          <w:p>
            <w:pPr>
              <w:spacing w:after="0" w:line="20" w:lineRule="exact"/>
              <w:rPr>
                <w:sz w:val="1"/>
                <w:szCs w:val="1"/>
                <w:color w:val="auto"/>
              </w:rPr>
            </w:pPr>
          </w:p>
        </w:tc>
        <w:tc>
          <w:tcPr>
            <w:tcW w:w="20" w:type="dxa"/>
            <w:vAlign w:val="bottom"/>
            <w:tcBorders>
              <w:bottom w:val="single" w:sz="8" w:color="CCEEFF"/>
            </w:tcBorders>
            <w:shd w:val="clear" w:color="auto" w:fill="CCEEFF"/>
          </w:tcPr>
          <w:p>
            <w:pPr>
              <w:spacing w:after="0" w:line="20" w:lineRule="exact"/>
              <w:rPr>
                <w:sz w:val="1"/>
                <w:szCs w:val="1"/>
                <w:color w:val="auto"/>
              </w:rPr>
            </w:pPr>
          </w:p>
        </w:tc>
        <w:tc>
          <w:tcPr>
            <w:tcW w:w="80" w:type="dxa"/>
            <w:vAlign w:val="bottom"/>
            <w:tcBorders>
              <w:bottom w:val="single" w:sz="8" w:color="CCEEFF"/>
            </w:tcBorders>
            <w:shd w:val="clear" w:color="auto" w:fill="CCEEFF"/>
          </w:tcPr>
          <w:p>
            <w:pPr>
              <w:spacing w:after="0" w:line="20" w:lineRule="exact"/>
              <w:rPr>
                <w:sz w:val="1"/>
                <w:szCs w:val="1"/>
                <w:color w:val="auto"/>
              </w:rPr>
            </w:pPr>
          </w:p>
        </w:tc>
        <w:tc>
          <w:tcPr>
            <w:tcW w:w="600" w:type="dxa"/>
            <w:vAlign w:val="bottom"/>
            <w:tcBorders>
              <w:bottom w:val="single" w:sz="8" w:color="CCEEFF"/>
            </w:tcBorders>
            <w:shd w:val="clear" w:color="auto" w:fill="CCEEFF"/>
          </w:tcPr>
          <w:p>
            <w:pPr>
              <w:spacing w:after="0" w:line="20" w:lineRule="exact"/>
              <w:rPr>
                <w:sz w:val="1"/>
                <w:szCs w:val="1"/>
                <w:color w:val="auto"/>
              </w:rPr>
            </w:pPr>
          </w:p>
        </w:tc>
        <w:tc>
          <w:tcPr>
            <w:tcW w:w="60" w:type="dxa"/>
            <w:vAlign w:val="bottom"/>
            <w:tcBorders>
              <w:bottom w:val="single" w:sz="8" w:color="CCEEFF"/>
            </w:tcBorders>
            <w:shd w:val="clear" w:color="auto" w:fill="CCEEFF"/>
          </w:tcPr>
          <w:p>
            <w:pPr>
              <w:spacing w:after="0" w:line="20" w:lineRule="exact"/>
              <w:rPr>
                <w:sz w:val="1"/>
                <w:szCs w:val="1"/>
                <w:color w:val="auto"/>
              </w:rPr>
            </w:pPr>
          </w:p>
        </w:tc>
        <w:tc>
          <w:tcPr>
            <w:tcW w:w="400" w:type="dxa"/>
            <w:vAlign w:val="bottom"/>
            <w:tcBorders>
              <w:bottom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bottom w:val="single" w:sz="8" w:color="CCEEFF"/>
            </w:tcBorders>
            <w:shd w:val="clear" w:color="auto" w:fill="CCEEFF"/>
          </w:tcPr>
          <w:p>
            <w:pPr>
              <w:spacing w:after="0" w:line="20" w:lineRule="exact"/>
              <w:rPr>
                <w:sz w:val="1"/>
                <w:szCs w:val="1"/>
                <w:color w:val="auto"/>
              </w:rPr>
            </w:pPr>
          </w:p>
        </w:tc>
        <w:tc>
          <w:tcPr>
            <w:tcW w:w="760" w:type="dxa"/>
            <w:vAlign w:val="bottom"/>
            <w:tcBorders>
              <w:bottom w:val="single" w:sz="8" w:color="CCEEFF"/>
            </w:tcBorders>
            <w:shd w:val="clear" w:color="auto" w:fill="CCEEFF"/>
          </w:tcPr>
          <w:p>
            <w:pPr>
              <w:spacing w:after="0" w:line="20" w:lineRule="exact"/>
              <w:rPr>
                <w:sz w:val="1"/>
                <w:szCs w:val="1"/>
                <w:color w:val="auto"/>
              </w:rPr>
            </w:pPr>
          </w:p>
        </w:tc>
        <w:tc>
          <w:tcPr>
            <w:tcW w:w="120" w:type="dxa"/>
            <w:vAlign w:val="bottom"/>
            <w:tcBorders>
              <w:bottom w:val="single" w:sz="8" w:color="CCEEFF"/>
            </w:tcBorders>
            <w:shd w:val="clear" w:color="auto" w:fill="CCEEFF"/>
          </w:tcPr>
          <w:p>
            <w:pPr>
              <w:spacing w:after="0" w:line="20" w:lineRule="exact"/>
              <w:rPr>
                <w:sz w:val="1"/>
                <w:szCs w:val="1"/>
                <w:color w:val="auto"/>
              </w:rPr>
            </w:pPr>
          </w:p>
        </w:tc>
        <w:tc>
          <w:tcPr>
            <w:tcW w:w="1300" w:type="dxa"/>
            <w:vAlign w:val="bottom"/>
            <w:tcBorders>
              <w:bottom w:val="single" w:sz="8" w:color="CCEEFF"/>
            </w:tcBorders>
            <w:shd w:val="clear" w:color="auto" w:fill="CCEEFF"/>
          </w:tcPr>
          <w:p>
            <w:pPr>
              <w:spacing w:after="0" w:line="20" w:lineRule="exact"/>
              <w:rPr>
                <w:sz w:val="1"/>
                <w:szCs w:val="1"/>
                <w:color w:val="auto"/>
              </w:rPr>
            </w:pPr>
          </w:p>
        </w:tc>
        <w:tc>
          <w:tcPr>
            <w:tcW w:w="2780" w:type="dxa"/>
            <w:vAlign w:val="bottom"/>
            <w:tcBorders>
              <w:bottom w:val="single" w:sz="8" w:color="CCEEFF"/>
            </w:tcBorders>
            <w:shd w:val="clear" w:color="auto" w:fill="CCEE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10320" w:type="dxa"/>
            <w:vAlign w:val="bottom"/>
            <w:gridSpan w:val="21"/>
          </w:tcPr>
          <w:p>
            <w:pPr>
              <w:spacing w:after="0" w:line="185" w:lineRule="exact"/>
              <w:rPr>
                <w:sz w:val="20"/>
                <w:szCs w:val="20"/>
                <w:color w:val="auto"/>
              </w:rPr>
            </w:pPr>
            <w:r>
              <w:rPr>
                <w:rFonts w:ascii="Arial" w:cs="Arial" w:eastAsia="Arial" w:hAnsi="Arial"/>
                <w:sz w:val="18"/>
                <w:szCs w:val="18"/>
                <w:color w:val="0000FF"/>
              </w:rPr>
              <w:t>Item 4. Mine Safety Disclosures</w:t>
            </w:r>
          </w:p>
        </w:tc>
        <w:tc>
          <w:tcPr>
            <w:tcW w:w="680" w:type="dxa"/>
            <w:vAlign w:val="bottom"/>
          </w:tcPr>
          <w:p>
            <w:pPr>
              <w:spacing w:after="0"/>
              <w:rPr>
                <w:sz w:val="16"/>
                <w:szCs w:val="16"/>
                <w:color w:val="auto"/>
              </w:rPr>
            </w:pPr>
          </w:p>
        </w:tc>
        <w:tc>
          <w:tcPr>
            <w:tcW w:w="220" w:type="dxa"/>
            <w:vAlign w:val="bottom"/>
            <w:gridSpan w:val="3"/>
          </w:tcPr>
          <w:p>
            <w:pPr>
              <w:jc w:val="right"/>
              <w:ind w:right="20"/>
              <w:spacing w:after="0" w:line="185" w:lineRule="exact"/>
              <w:rPr>
                <w:sz w:val="20"/>
                <w:szCs w:val="20"/>
                <w:color w:val="auto"/>
              </w:rPr>
            </w:pPr>
            <w:r>
              <w:rPr>
                <w:rFonts w:ascii="Arial" w:cs="Arial" w:eastAsia="Arial" w:hAnsi="Arial"/>
                <w:sz w:val="18"/>
                <w:szCs w:val="18"/>
                <w:color w:val="0000FF"/>
                <w:w w:val="89"/>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2480" w:type="dxa"/>
            <w:vAlign w:val="bottom"/>
            <w:gridSpan w:val="6"/>
            <w:shd w:val="clear" w:color="auto" w:fill="CCEEFF"/>
          </w:tcPr>
          <w:p>
            <w:pPr>
              <w:spacing w:after="0" w:line="205" w:lineRule="exact"/>
              <w:rPr>
                <w:sz w:val="20"/>
                <w:szCs w:val="20"/>
                <w:color w:val="auto"/>
              </w:rPr>
            </w:pPr>
            <w:r>
              <w:rPr>
                <w:rFonts w:ascii="Arial" w:cs="Arial" w:eastAsia="Arial" w:hAnsi="Arial"/>
                <w:sz w:val="18"/>
                <w:szCs w:val="18"/>
                <w:color w:val="0000FF"/>
              </w:rPr>
              <w:t>Item 5. Other Information</w:t>
            </w:r>
          </w:p>
        </w:tc>
        <w:tc>
          <w:tcPr>
            <w:tcW w:w="7840" w:type="dxa"/>
            <w:vAlign w:val="bottom"/>
            <w:tcBorders>
              <w:left w:val="single" w:sz="8" w:color="CCEEFF"/>
            </w:tcBorders>
            <w:gridSpan w:val="15"/>
            <w:shd w:val="clear" w:color="auto" w:fill="CCEEFF"/>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gridSpan w:val="3"/>
          </w:tcPr>
          <w:p>
            <w:pPr>
              <w:jc w:val="right"/>
              <w:ind w:right="20"/>
              <w:spacing w:after="0" w:line="205" w:lineRule="exact"/>
              <w:rPr>
                <w:sz w:val="20"/>
                <w:szCs w:val="20"/>
                <w:color w:val="auto"/>
              </w:rPr>
            </w:pPr>
            <w:r>
              <w:rPr>
                <w:rFonts w:ascii="Arial" w:cs="Arial" w:eastAsia="Arial" w:hAnsi="Arial"/>
                <w:sz w:val="18"/>
                <w:szCs w:val="18"/>
                <w:color w:val="0000FF"/>
                <w:w w:val="89"/>
              </w:rPr>
              <w:t>77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shd w:val="clear" w:color="auto" w:fill="CCEEFF"/>
          </w:tcPr>
          <w:p>
            <w:pPr>
              <w:spacing w:after="0" w:line="20" w:lineRule="exact"/>
              <w:rPr>
                <w:sz w:val="1"/>
                <w:szCs w:val="1"/>
                <w:color w:val="auto"/>
              </w:rPr>
            </w:pPr>
          </w:p>
        </w:tc>
        <w:tc>
          <w:tcPr>
            <w:tcW w:w="840" w:type="dxa"/>
            <w:vAlign w:val="bottom"/>
            <w:tcBorders>
              <w:bottom w:val="single" w:sz="8" w:color="CCEEFF"/>
            </w:tcBorders>
            <w:shd w:val="clear" w:color="auto" w:fill="0000FF"/>
          </w:tcPr>
          <w:p>
            <w:pPr>
              <w:spacing w:after="0" w:line="20" w:lineRule="exact"/>
              <w:rPr>
                <w:sz w:val="1"/>
                <w:szCs w:val="1"/>
                <w:color w:val="auto"/>
              </w:rPr>
            </w:pPr>
          </w:p>
        </w:tc>
        <w:tc>
          <w:tcPr>
            <w:tcW w:w="380" w:type="dxa"/>
            <w:vAlign w:val="bottom"/>
            <w:tcBorders>
              <w:bottom w:val="single" w:sz="8" w:color="CCEEFF"/>
            </w:tcBorders>
            <w:shd w:val="clear" w:color="auto" w:fill="0000FF"/>
          </w:tcPr>
          <w:p>
            <w:pPr>
              <w:spacing w:after="0" w:line="20" w:lineRule="exact"/>
              <w:rPr>
                <w:sz w:val="1"/>
                <w:szCs w:val="1"/>
                <w:color w:val="auto"/>
              </w:rPr>
            </w:pPr>
          </w:p>
        </w:tc>
        <w:tc>
          <w:tcPr>
            <w:tcW w:w="480" w:type="dxa"/>
            <w:vAlign w:val="bottom"/>
            <w:tcBorders>
              <w:bottom w:val="single" w:sz="8" w:color="CCEEFF"/>
            </w:tcBorders>
            <w:shd w:val="clear" w:color="auto" w:fill="0000FF"/>
          </w:tcPr>
          <w:p>
            <w:pPr>
              <w:spacing w:after="0" w:line="20" w:lineRule="exact"/>
              <w:rPr>
                <w:sz w:val="1"/>
                <w:szCs w:val="1"/>
                <w:color w:val="auto"/>
              </w:rPr>
            </w:pPr>
          </w:p>
        </w:tc>
        <w:tc>
          <w:tcPr>
            <w:tcW w:w="260" w:type="dxa"/>
            <w:vAlign w:val="bottom"/>
            <w:tcBorders>
              <w:bottom w:val="single" w:sz="8" w:color="CCEEFF"/>
            </w:tcBorders>
            <w:shd w:val="clear" w:color="auto" w:fill="0000FF"/>
          </w:tcPr>
          <w:p>
            <w:pPr>
              <w:spacing w:after="0" w:line="20" w:lineRule="exact"/>
              <w:rPr>
                <w:sz w:val="1"/>
                <w:szCs w:val="1"/>
                <w:color w:val="auto"/>
              </w:rPr>
            </w:pPr>
          </w:p>
        </w:tc>
        <w:tc>
          <w:tcPr>
            <w:tcW w:w="100" w:type="dxa"/>
            <w:vAlign w:val="bottom"/>
            <w:tcBorders>
              <w:bottom w:val="single" w:sz="8" w:color="CCEEFF"/>
            </w:tcBorders>
            <w:shd w:val="clear" w:color="auto" w:fill="CCEEFF"/>
          </w:tcPr>
          <w:p>
            <w:pPr>
              <w:spacing w:after="0" w:line="20" w:lineRule="exact"/>
              <w:rPr>
                <w:sz w:val="1"/>
                <w:szCs w:val="1"/>
                <w:color w:val="auto"/>
              </w:rPr>
            </w:pPr>
          </w:p>
        </w:tc>
        <w:tc>
          <w:tcPr>
            <w:tcW w:w="420" w:type="dxa"/>
            <w:vAlign w:val="bottom"/>
            <w:tcBorders>
              <w:bottom w:val="single" w:sz="8" w:color="CCEEFF"/>
            </w:tcBorders>
            <w:shd w:val="clear" w:color="auto" w:fill="CCEEFF"/>
          </w:tcPr>
          <w:p>
            <w:pPr>
              <w:spacing w:after="0" w:line="20" w:lineRule="exact"/>
              <w:rPr>
                <w:sz w:val="1"/>
                <w:szCs w:val="1"/>
                <w:color w:val="auto"/>
              </w:rPr>
            </w:pPr>
          </w:p>
        </w:tc>
        <w:tc>
          <w:tcPr>
            <w:tcW w:w="620" w:type="dxa"/>
            <w:vAlign w:val="bottom"/>
            <w:tcBorders>
              <w:left w:val="single" w:sz="8" w:color="CCEEFF"/>
              <w:bottom w:val="single" w:sz="8" w:color="CCEEFF"/>
            </w:tcBorders>
            <w:shd w:val="clear" w:color="auto" w:fill="CCEEFF"/>
          </w:tcPr>
          <w:p>
            <w:pPr>
              <w:spacing w:after="0" w:line="20" w:lineRule="exact"/>
              <w:rPr>
                <w:sz w:val="1"/>
                <w:szCs w:val="1"/>
                <w:color w:val="auto"/>
              </w:rPr>
            </w:pPr>
          </w:p>
        </w:tc>
        <w:tc>
          <w:tcPr>
            <w:tcW w:w="160" w:type="dxa"/>
            <w:vAlign w:val="bottom"/>
            <w:tcBorders>
              <w:bottom w:val="single" w:sz="8" w:color="CCEEFF"/>
            </w:tcBorders>
            <w:shd w:val="clear" w:color="auto" w:fill="CCEEFF"/>
          </w:tcPr>
          <w:p>
            <w:pPr>
              <w:spacing w:after="0" w:line="20" w:lineRule="exact"/>
              <w:rPr>
                <w:sz w:val="1"/>
                <w:szCs w:val="1"/>
                <w:color w:val="auto"/>
              </w:rPr>
            </w:pPr>
          </w:p>
        </w:tc>
        <w:tc>
          <w:tcPr>
            <w:tcW w:w="20" w:type="dxa"/>
            <w:vAlign w:val="bottom"/>
            <w:tcBorders>
              <w:bottom w:val="single" w:sz="8" w:color="CCEEFF"/>
            </w:tcBorders>
            <w:shd w:val="clear" w:color="auto" w:fill="CCEEFF"/>
          </w:tcPr>
          <w:p>
            <w:pPr>
              <w:spacing w:after="0" w:line="20" w:lineRule="exact"/>
              <w:rPr>
                <w:sz w:val="1"/>
                <w:szCs w:val="1"/>
                <w:color w:val="auto"/>
              </w:rPr>
            </w:pPr>
          </w:p>
        </w:tc>
        <w:tc>
          <w:tcPr>
            <w:tcW w:w="760" w:type="dxa"/>
            <w:vAlign w:val="bottom"/>
            <w:tcBorders>
              <w:bottom w:val="single" w:sz="8" w:color="CCEEFF"/>
            </w:tcBorders>
            <w:shd w:val="clear" w:color="auto" w:fill="CCEEFF"/>
          </w:tcPr>
          <w:p>
            <w:pPr>
              <w:spacing w:after="0" w:line="20" w:lineRule="exact"/>
              <w:rPr>
                <w:sz w:val="1"/>
                <w:szCs w:val="1"/>
                <w:color w:val="auto"/>
              </w:rPr>
            </w:pPr>
          </w:p>
        </w:tc>
        <w:tc>
          <w:tcPr>
            <w:tcW w:w="40" w:type="dxa"/>
            <w:vAlign w:val="bottom"/>
            <w:tcBorders>
              <w:bottom w:val="single" w:sz="8" w:color="CCEEFF"/>
            </w:tcBorders>
            <w:shd w:val="clear" w:color="auto" w:fill="CCEEFF"/>
          </w:tcPr>
          <w:p>
            <w:pPr>
              <w:spacing w:after="0" w:line="20" w:lineRule="exact"/>
              <w:rPr>
                <w:sz w:val="1"/>
                <w:szCs w:val="1"/>
                <w:color w:val="auto"/>
              </w:rPr>
            </w:pPr>
          </w:p>
        </w:tc>
        <w:tc>
          <w:tcPr>
            <w:tcW w:w="20" w:type="dxa"/>
            <w:vAlign w:val="bottom"/>
            <w:tcBorders>
              <w:bottom w:val="single" w:sz="8" w:color="CCEEFF"/>
            </w:tcBorders>
            <w:shd w:val="clear" w:color="auto" w:fill="CCEEFF"/>
          </w:tcPr>
          <w:p>
            <w:pPr>
              <w:spacing w:after="0" w:line="20" w:lineRule="exact"/>
              <w:rPr>
                <w:sz w:val="1"/>
                <w:szCs w:val="1"/>
                <w:color w:val="auto"/>
              </w:rPr>
            </w:pPr>
          </w:p>
        </w:tc>
        <w:tc>
          <w:tcPr>
            <w:tcW w:w="80" w:type="dxa"/>
            <w:vAlign w:val="bottom"/>
            <w:tcBorders>
              <w:bottom w:val="single" w:sz="8" w:color="CCEEFF"/>
            </w:tcBorders>
            <w:shd w:val="clear" w:color="auto" w:fill="CCEEFF"/>
          </w:tcPr>
          <w:p>
            <w:pPr>
              <w:spacing w:after="0" w:line="20" w:lineRule="exact"/>
              <w:rPr>
                <w:sz w:val="1"/>
                <w:szCs w:val="1"/>
                <w:color w:val="auto"/>
              </w:rPr>
            </w:pPr>
          </w:p>
        </w:tc>
        <w:tc>
          <w:tcPr>
            <w:tcW w:w="600" w:type="dxa"/>
            <w:vAlign w:val="bottom"/>
            <w:tcBorders>
              <w:bottom w:val="single" w:sz="8" w:color="CCEEFF"/>
            </w:tcBorders>
            <w:shd w:val="clear" w:color="auto" w:fill="CCEEFF"/>
          </w:tcPr>
          <w:p>
            <w:pPr>
              <w:spacing w:after="0" w:line="20" w:lineRule="exact"/>
              <w:rPr>
                <w:sz w:val="1"/>
                <w:szCs w:val="1"/>
                <w:color w:val="auto"/>
              </w:rPr>
            </w:pPr>
          </w:p>
        </w:tc>
        <w:tc>
          <w:tcPr>
            <w:tcW w:w="60" w:type="dxa"/>
            <w:vAlign w:val="bottom"/>
            <w:tcBorders>
              <w:bottom w:val="single" w:sz="8" w:color="CCEEFF"/>
            </w:tcBorders>
            <w:shd w:val="clear" w:color="auto" w:fill="CCEEFF"/>
          </w:tcPr>
          <w:p>
            <w:pPr>
              <w:spacing w:after="0" w:line="20" w:lineRule="exact"/>
              <w:rPr>
                <w:sz w:val="1"/>
                <w:szCs w:val="1"/>
                <w:color w:val="auto"/>
              </w:rPr>
            </w:pPr>
          </w:p>
        </w:tc>
        <w:tc>
          <w:tcPr>
            <w:tcW w:w="400" w:type="dxa"/>
            <w:vAlign w:val="bottom"/>
            <w:tcBorders>
              <w:bottom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bottom w:val="single" w:sz="8" w:color="CCEEFF"/>
            </w:tcBorders>
            <w:shd w:val="clear" w:color="auto" w:fill="CCEEFF"/>
          </w:tcPr>
          <w:p>
            <w:pPr>
              <w:spacing w:after="0" w:line="20" w:lineRule="exact"/>
              <w:rPr>
                <w:sz w:val="1"/>
                <w:szCs w:val="1"/>
                <w:color w:val="auto"/>
              </w:rPr>
            </w:pPr>
          </w:p>
        </w:tc>
        <w:tc>
          <w:tcPr>
            <w:tcW w:w="760" w:type="dxa"/>
            <w:vAlign w:val="bottom"/>
            <w:tcBorders>
              <w:bottom w:val="single" w:sz="8" w:color="CCEEFF"/>
            </w:tcBorders>
            <w:shd w:val="clear" w:color="auto" w:fill="CCEEFF"/>
          </w:tcPr>
          <w:p>
            <w:pPr>
              <w:spacing w:after="0" w:line="20" w:lineRule="exact"/>
              <w:rPr>
                <w:sz w:val="1"/>
                <w:szCs w:val="1"/>
                <w:color w:val="auto"/>
              </w:rPr>
            </w:pPr>
          </w:p>
        </w:tc>
        <w:tc>
          <w:tcPr>
            <w:tcW w:w="120" w:type="dxa"/>
            <w:vAlign w:val="bottom"/>
            <w:tcBorders>
              <w:bottom w:val="single" w:sz="8" w:color="CCEEFF"/>
            </w:tcBorders>
            <w:shd w:val="clear" w:color="auto" w:fill="CCEEFF"/>
          </w:tcPr>
          <w:p>
            <w:pPr>
              <w:spacing w:after="0" w:line="20" w:lineRule="exact"/>
              <w:rPr>
                <w:sz w:val="1"/>
                <w:szCs w:val="1"/>
                <w:color w:val="auto"/>
              </w:rPr>
            </w:pPr>
          </w:p>
        </w:tc>
        <w:tc>
          <w:tcPr>
            <w:tcW w:w="1300" w:type="dxa"/>
            <w:vAlign w:val="bottom"/>
            <w:tcBorders>
              <w:bottom w:val="single" w:sz="8" w:color="CCEEFF"/>
            </w:tcBorders>
            <w:shd w:val="clear" w:color="auto" w:fill="CCEEFF"/>
          </w:tcPr>
          <w:p>
            <w:pPr>
              <w:spacing w:after="0" w:line="20" w:lineRule="exact"/>
              <w:rPr>
                <w:sz w:val="1"/>
                <w:szCs w:val="1"/>
                <w:color w:val="auto"/>
              </w:rPr>
            </w:pPr>
          </w:p>
        </w:tc>
        <w:tc>
          <w:tcPr>
            <w:tcW w:w="2780" w:type="dxa"/>
            <w:vAlign w:val="bottom"/>
            <w:tcBorders>
              <w:bottom w:val="single" w:sz="8" w:color="CCEEFF"/>
            </w:tcBorders>
            <w:shd w:val="clear" w:color="auto" w:fill="CCEE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1220" w:type="dxa"/>
            <w:vAlign w:val="bottom"/>
            <w:gridSpan w:val="2"/>
          </w:tcPr>
          <w:p>
            <w:pPr>
              <w:spacing w:after="0" w:line="185" w:lineRule="exact"/>
              <w:rPr>
                <w:sz w:val="20"/>
                <w:szCs w:val="20"/>
                <w:color w:val="auto"/>
              </w:rPr>
            </w:pPr>
            <w:r>
              <w:rPr>
                <w:rFonts w:ascii="Arial" w:cs="Arial" w:eastAsia="Arial" w:hAnsi="Arial"/>
                <w:sz w:val="18"/>
                <w:szCs w:val="18"/>
                <w:color w:val="0000FF"/>
                <w:w w:val="97"/>
              </w:rPr>
              <w:t>Item 6. Exhibits</w:t>
            </w:r>
          </w:p>
        </w:tc>
        <w:tc>
          <w:tcPr>
            <w:tcW w:w="9100" w:type="dxa"/>
            <w:vAlign w:val="bottom"/>
            <w:gridSpan w:val="19"/>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gridSpan w:val="3"/>
          </w:tcPr>
          <w:p>
            <w:pPr>
              <w:jc w:val="right"/>
              <w:ind w:right="20"/>
              <w:spacing w:after="0" w:line="185" w:lineRule="exact"/>
              <w:rPr>
                <w:sz w:val="20"/>
                <w:szCs w:val="20"/>
                <w:color w:val="auto"/>
              </w:rPr>
            </w:pPr>
            <w:r>
              <w:rPr>
                <w:rFonts w:ascii="Arial" w:cs="Arial" w:eastAsia="Arial" w:hAnsi="Arial"/>
                <w:sz w:val="18"/>
                <w:szCs w:val="18"/>
                <w:color w:val="0000FF"/>
                <w:w w:val="89"/>
              </w:rPr>
              <w:t>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color w:val="0000FF"/>
              </w:rPr>
              <w:t>Signatures</w:t>
            </w:r>
          </w:p>
        </w:tc>
        <w:tc>
          <w:tcPr>
            <w:tcW w:w="9100" w:type="dxa"/>
            <w:vAlign w:val="bottom"/>
            <w:gridSpan w:val="19"/>
            <w:shd w:val="clear" w:color="auto" w:fill="CCEEFF"/>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gridSpan w:val="3"/>
          </w:tcPr>
          <w:p>
            <w:pPr>
              <w:jc w:val="right"/>
              <w:ind w:right="20"/>
              <w:spacing w:after="0" w:line="205" w:lineRule="exact"/>
              <w:rPr>
                <w:sz w:val="20"/>
                <w:szCs w:val="20"/>
                <w:color w:val="auto"/>
              </w:rPr>
            </w:pPr>
            <w:r>
              <w:rPr>
                <w:rFonts w:ascii="Arial" w:cs="Arial" w:eastAsia="Arial" w:hAnsi="Arial"/>
                <w:sz w:val="18"/>
                <w:szCs w:val="18"/>
                <w:color w:val="0000FF"/>
                <w:w w:val="89"/>
              </w:rPr>
              <w:t>80</w:t>
            </w:r>
          </w:p>
        </w:tc>
        <w:tc>
          <w:tcPr>
            <w:tcW w:w="0" w:type="dxa"/>
            <w:vAlign w:val="bottom"/>
          </w:tcPr>
          <w:p>
            <w:pPr>
              <w:spacing w:after="0"/>
              <w:rPr>
                <w:sz w:val="1"/>
                <w:szCs w:val="1"/>
                <w:color w:val="auto"/>
              </w:rPr>
            </w:pPr>
          </w:p>
        </w:tc>
      </w:tr>
      <w:tr>
        <w:trPr>
          <w:trHeight w:val="265"/>
        </w:trPr>
        <w:tc>
          <w:tcPr>
            <w:tcW w:w="20" w:type="dxa"/>
            <w:vAlign w:val="bottom"/>
            <w:tcBorders>
              <w:top w:val="single" w:sz="8" w:color="CCEEFF"/>
              <w:bottom w:val="single" w:sz="8" w:color="auto"/>
            </w:tcBorders>
          </w:tcPr>
          <w:p>
            <w:pPr>
              <w:spacing w:after="0"/>
              <w:rPr>
                <w:sz w:val="23"/>
                <w:szCs w:val="23"/>
                <w:color w:val="auto"/>
              </w:rPr>
            </w:pPr>
          </w:p>
        </w:tc>
        <w:tc>
          <w:tcPr>
            <w:tcW w:w="840" w:type="dxa"/>
            <w:vAlign w:val="bottom"/>
            <w:tcBorders>
              <w:top w:val="single" w:sz="8" w:color="0000FF"/>
              <w:bottom w:val="single" w:sz="8" w:color="auto"/>
            </w:tcBorders>
          </w:tcPr>
          <w:p>
            <w:pPr>
              <w:spacing w:after="0"/>
              <w:rPr>
                <w:sz w:val="23"/>
                <w:szCs w:val="23"/>
                <w:color w:val="auto"/>
              </w:rPr>
            </w:pPr>
          </w:p>
        </w:tc>
        <w:tc>
          <w:tcPr>
            <w:tcW w:w="380" w:type="dxa"/>
            <w:vAlign w:val="bottom"/>
            <w:tcBorders>
              <w:top w:val="single" w:sz="8" w:color="CCEEFF"/>
              <w:bottom w:val="single" w:sz="8" w:color="auto"/>
            </w:tcBorders>
          </w:tcPr>
          <w:p>
            <w:pPr>
              <w:spacing w:after="0"/>
              <w:rPr>
                <w:sz w:val="23"/>
                <w:szCs w:val="23"/>
                <w:color w:val="auto"/>
              </w:rPr>
            </w:pPr>
          </w:p>
        </w:tc>
        <w:tc>
          <w:tcPr>
            <w:tcW w:w="480" w:type="dxa"/>
            <w:vAlign w:val="bottom"/>
            <w:tcBorders>
              <w:top w:val="single" w:sz="8" w:color="CCEEFF"/>
              <w:bottom w:val="single" w:sz="8" w:color="auto"/>
            </w:tcBorders>
          </w:tcPr>
          <w:p>
            <w:pPr>
              <w:spacing w:after="0"/>
              <w:rPr>
                <w:sz w:val="23"/>
                <w:szCs w:val="23"/>
                <w:color w:val="auto"/>
              </w:rPr>
            </w:pPr>
          </w:p>
        </w:tc>
        <w:tc>
          <w:tcPr>
            <w:tcW w:w="260" w:type="dxa"/>
            <w:vAlign w:val="bottom"/>
            <w:tcBorders>
              <w:top w:val="single" w:sz="8" w:color="CCEEFF"/>
              <w:bottom w:val="single" w:sz="8" w:color="auto"/>
            </w:tcBorders>
          </w:tcPr>
          <w:p>
            <w:pPr>
              <w:spacing w:after="0"/>
              <w:rPr>
                <w:sz w:val="23"/>
                <w:szCs w:val="23"/>
                <w:color w:val="auto"/>
              </w:rPr>
            </w:pPr>
          </w:p>
        </w:tc>
        <w:tc>
          <w:tcPr>
            <w:tcW w:w="100" w:type="dxa"/>
            <w:vAlign w:val="bottom"/>
            <w:tcBorders>
              <w:top w:val="single" w:sz="8" w:color="CCEEFF"/>
              <w:bottom w:val="single" w:sz="8" w:color="auto"/>
            </w:tcBorders>
          </w:tcPr>
          <w:p>
            <w:pPr>
              <w:spacing w:after="0"/>
              <w:rPr>
                <w:sz w:val="23"/>
                <w:szCs w:val="23"/>
                <w:color w:val="auto"/>
              </w:rPr>
            </w:pPr>
          </w:p>
        </w:tc>
        <w:tc>
          <w:tcPr>
            <w:tcW w:w="420" w:type="dxa"/>
            <w:vAlign w:val="bottom"/>
            <w:tcBorders>
              <w:top w:val="single" w:sz="8" w:color="CCEEFF"/>
              <w:bottom w:val="single" w:sz="8" w:color="auto"/>
            </w:tcBorders>
          </w:tcPr>
          <w:p>
            <w:pPr>
              <w:spacing w:after="0"/>
              <w:rPr>
                <w:sz w:val="23"/>
                <w:szCs w:val="23"/>
                <w:color w:val="auto"/>
              </w:rPr>
            </w:pPr>
          </w:p>
        </w:tc>
        <w:tc>
          <w:tcPr>
            <w:tcW w:w="620" w:type="dxa"/>
            <w:vAlign w:val="bottom"/>
            <w:tcBorders>
              <w:top w:val="single" w:sz="8" w:color="CCEEFF"/>
              <w:bottom w:val="single" w:sz="8" w:color="auto"/>
            </w:tcBorders>
          </w:tcPr>
          <w:p>
            <w:pPr>
              <w:spacing w:after="0"/>
              <w:rPr>
                <w:sz w:val="23"/>
                <w:szCs w:val="23"/>
                <w:color w:val="auto"/>
              </w:rPr>
            </w:pPr>
          </w:p>
        </w:tc>
        <w:tc>
          <w:tcPr>
            <w:tcW w:w="160" w:type="dxa"/>
            <w:vAlign w:val="bottom"/>
            <w:tcBorders>
              <w:top w:val="single" w:sz="8" w:color="CCEEFF"/>
              <w:bottom w:val="single" w:sz="8" w:color="auto"/>
            </w:tcBorders>
          </w:tcPr>
          <w:p>
            <w:pPr>
              <w:spacing w:after="0"/>
              <w:rPr>
                <w:sz w:val="23"/>
                <w:szCs w:val="23"/>
                <w:color w:val="auto"/>
              </w:rPr>
            </w:pPr>
          </w:p>
        </w:tc>
        <w:tc>
          <w:tcPr>
            <w:tcW w:w="20" w:type="dxa"/>
            <w:vAlign w:val="bottom"/>
            <w:tcBorders>
              <w:top w:val="single" w:sz="8" w:color="CCEEFF"/>
              <w:bottom w:val="single" w:sz="8" w:color="auto"/>
            </w:tcBorders>
          </w:tcPr>
          <w:p>
            <w:pPr>
              <w:spacing w:after="0"/>
              <w:rPr>
                <w:sz w:val="23"/>
                <w:szCs w:val="23"/>
                <w:color w:val="auto"/>
              </w:rPr>
            </w:pPr>
          </w:p>
        </w:tc>
        <w:tc>
          <w:tcPr>
            <w:tcW w:w="760" w:type="dxa"/>
            <w:vAlign w:val="bottom"/>
            <w:tcBorders>
              <w:top w:val="single" w:sz="8" w:color="CCEEFF"/>
              <w:bottom w:val="single" w:sz="8" w:color="auto"/>
            </w:tcBorders>
          </w:tcPr>
          <w:p>
            <w:pPr>
              <w:spacing w:after="0"/>
              <w:rPr>
                <w:sz w:val="23"/>
                <w:szCs w:val="23"/>
                <w:color w:val="auto"/>
              </w:rPr>
            </w:pPr>
          </w:p>
        </w:tc>
        <w:tc>
          <w:tcPr>
            <w:tcW w:w="40" w:type="dxa"/>
            <w:vAlign w:val="bottom"/>
            <w:tcBorders>
              <w:top w:val="single" w:sz="8" w:color="CCEEFF"/>
              <w:bottom w:val="single" w:sz="8" w:color="auto"/>
            </w:tcBorders>
          </w:tcPr>
          <w:p>
            <w:pPr>
              <w:spacing w:after="0"/>
              <w:rPr>
                <w:sz w:val="23"/>
                <w:szCs w:val="23"/>
                <w:color w:val="auto"/>
              </w:rPr>
            </w:pPr>
          </w:p>
        </w:tc>
        <w:tc>
          <w:tcPr>
            <w:tcW w:w="20" w:type="dxa"/>
            <w:vAlign w:val="bottom"/>
            <w:tcBorders>
              <w:top w:val="single" w:sz="8" w:color="CCEEFF"/>
              <w:bottom w:val="single" w:sz="8" w:color="auto"/>
            </w:tcBorders>
          </w:tcPr>
          <w:p>
            <w:pPr>
              <w:spacing w:after="0"/>
              <w:rPr>
                <w:sz w:val="23"/>
                <w:szCs w:val="23"/>
                <w:color w:val="auto"/>
              </w:rPr>
            </w:pPr>
          </w:p>
        </w:tc>
        <w:tc>
          <w:tcPr>
            <w:tcW w:w="80" w:type="dxa"/>
            <w:vAlign w:val="bottom"/>
            <w:tcBorders>
              <w:top w:val="single" w:sz="8" w:color="CCEEFF"/>
              <w:bottom w:val="single" w:sz="8" w:color="auto"/>
            </w:tcBorders>
          </w:tcPr>
          <w:p>
            <w:pPr>
              <w:spacing w:after="0"/>
              <w:rPr>
                <w:sz w:val="23"/>
                <w:szCs w:val="23"/>
                <w:color w:val="auto"/>
              </w:rPr>
            </w:pPr>
          </w:p>
        </w:tc>
        <w:tc>
          <w:tcPr>
            <w:tcW w:w="600" w:type="dxa"/>
            <w:vAlign w:val="bottom"/>
            <w:tcBorders>
              <w:top w:val="single" w:sz="8" w:color="CCEEFF"/>
              <w:bottom w:val="single" w:sz="8" w:color="auto"/>
            </w:tcBorders>
          </w:tcPr>
          <w:p>
            <w:pPr>
              <w:spacing w:after="0"/>
              <w:rPr>
                <w:sz w:val="23"/>
                <w:szCs w:val="23"/>
                <w:color w:val="auto"/>
              </w:rPr>
            </w:pPr>
          </w:p>
        </w:tc>
        <w:tc>
          <w:tcPr>
            <w:tcW w:w="60" w:type="dxa"/>
            <w:vAlign w:val="bottom"/>
            <w:tcBorders>
              <w:top w:val="single" w:sz="8" w:color="CCEEFF"/>
              <w:bottom w:val="single" w:sz="8" w:color="auto"/>
            </w:tcBorders>
          </w:tcPr>
          <w:p>
            <w:pPr>
              <w:spacing w:after="0"/>
              <w:rPr>
                <w:sz w:val="23"/>
                <w:szCs w:val="23"/>
                <w:color w:val="auto"/>
              </w:rPr>
            </w:pPr>
          </w:p>
        </w:tc>
        <w:tc>
          <w:tcPr>
            <w:tcW w:w="400" w:type="dxa"/>
            <w:vAlign w:val="bottom"/>
            <w:tcBorders>
              <w:top w:val="single" w:sz="8" w:color="CCEEFF"/>
              <w:bottom w:val="single" w:sz="8" w:color="auto"/>
            </w:tcBorders>
          </w:tcPr>
          <w:p>
            <w:pPr>
              <w:spacing w:after="0"/>
              <w:rPr>
                <w:sz w:val="23"/>
                <w:szCs w:val="23"/>
                <w:color w:val="auto"/>
              </w:rPr>
            </w:pPr>
          </w:p>
        </w:tc>
        <w:tc>
          <w:tcPr>
            <w:tcW w:w="120" w:type="dxa"/>
            <w:vAlign w:val="bottom"/>
            <w:tcBorders>
              <w:top w:val="single" w:sz="8" w:color="CCEEFF"/>
              <w:bottom w:val="single" w:sz="8" w:color="auto"/>
            </w:tcBorders>
          </w:tcPr>
          <w:p>
            <w:pPr>
              <w:spacing w:after="0"/>
              <w:rPr>
                <w:sz w:val="23"/>
                <w:szCs w:val="23"/>
                <w:color w:val="auto"/>
              </w:rPr>
            </w:pPr>
          </w:p>
        </w:tc>
        <w:tc>
          <w:tcPr>
            <w:tcW w:w="760" w:type="dxa"/>
            <w:vAlign w:val="bottom"/>
            <w:tcBorders>
              <w:top w:val="single" w:sz="8" w:color="CCEEFF"/>
              <w:bottom w:val="single" w:sz="8" w:color="auto"/>
            </w:tcBorders>
          </w:tcPr>
          <w:p>
            <w:pPr>
              <w:spacing w:after="0"/>
              <w:rPr>
                <w:sz w:val="23"/>
                <w:szCs w:val="23"/>
                <w:color w:val="auto"/>
              </w:rPr>
            </w:pPr>
          </w:p>
        </w:tc>
        <w:tc>
          <w:tcPr>
            <w:tcW w:w="120" w:type="dxa"/>
            <w:vAlign w:val="bottom"/>
            <w:tcBorders>
              <w:top w:val="single" w:sz="8" w:color="CCEEFF"/>
              <w:bottom w:val="single" w:sz="8" w:color="auto"/>
            </w:tcBorders>
          </w:tcPr>
          <w:p>
            <w:pPr>
              <w:spacing w:after="0"/>
              <w:rPr>
                <w:sz w:val="23"/>
                <w:szCs w:val="23"/>
                <w:color w:val="auto"/>
              </w:rPr>
            </w:pPr>
          </w:p>
        </w:tc>
        <w:tc>
          <w:tcPr>
            <w:tcW w:w="1300" w:type="dxa"/>
            <w:vAlign w:val="bottom"/>
            <w:tcBorders>
              <w:top w:val="single" w:sz="8" w:color="CCEEFF"/>
              <w:bottom w:val="single" w:sz="8" w:color="auto"/>
            </w:tcBorders>
          </w:tcPr>
          <w:p>
            <w:pPr>
              <w:spacing w:after="0"/>
              <w:rPr>
                <w:sz w:val="23"/>
                <w:szCs w:val="23"/>
                <w:color w:val="auto"/>
              </w:rPr>
            </w:pPr>
          </w:p>
        </w:tc>
        <w:tc>
          <w:tcPr>
            <w:tcW w:w="2780" w:type="dxa"/>
            <w:vAlign w:val="bottom"/>
            <w:tcBorders>
              <w:top w:val="single" w:sz="8" w:color="CCEEFF"/>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00" w:type="dxa"/>
            <w:vAlign w:val="bottom"/>
            <w:tcBorders>
              <w:top w:val="single" w:sz="8" w:color="0000FF"/>
              <w:bottom w:val="single" w:sz="8" w:color="auto"/>
            </w:tcBorders>
          </w:tcPr>
          <w:p>
            <w:pPr>
              <w:spacing w:after="0"/>
              <w:rPr>
                <w:sz w:val="23"/>
                <w:szCs w:val="23"/>
                <w:color w:val="auto"/>
              </w:rPr>
            </w:pPr>
          </w:p>
        </w:tc>
        <w:tc>
          <w:tcPr>
            <w:tcW w:w="100" w:type="dxa"/>
            <w:vAlign w:val="bottom"/>
            <w:tcBorders>
              <w:top w:val="single" w:sz="8" w:color="0000FF"/>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91"/>
        </w:trPr>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79" w:lineRule="exact"/>
        <w:rPr>
          <w:sz w:val="20"/>
          <w:szCs w:val="20"/>
          <w:color w:val="auto"/>
        </w:rPr>
      </w:pPr>
    </w:p>
    <w:p>
      <w:pPr>
        <w:ind w:right="40" w:firstLine="318"/>
        <w:spacing w:after="0" w:line="288" w:lineRule="auto"/>
        <w:rPr>
          <w:sz w:val="20"/>
          <w:szCs w:val="20"/>
          <w:color w:val="auto"/>
        </w:rPr>
      </w:pPr>
      <w:r>
        <w:rPr>
          <w:rFonts w:ascii="Arial" w:cs="Arial" w:eastAsia="Arial" w:hAnsi="Arial"/>
          <w:sz w:val="17"/>
          <w:szCs w:val="17"/>
          <w:color w:val="auto"/>
        </w:rPr>
        <w:t>This report includes forward-looking statements within the meaning of the federal securities laws that involve risks and uncertainties concerning the business, products and financial results of Beyond Meat, Inc. (including its subsidiaries unless the context otherwise requires, “Beyond Meat,” “we,” “us,” “our” or the “Company”). We have based these forward-looking statements largely on our current opinions, expectations, beliefs, plans, objectives, assumptions and projections about future events and financial trends affecting the operating results and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102" w:lineRule="exact"/>
        <w:rPr>
          <w:sz w:val="20"/>
          <w:szCs w:val="20"/>
          <w:color w:val="auto"/>
        </w:rPr>
      </w:pPr>
    </w:p>
    <w:p>
      <w:pPr>
        <w:ind w:left="640" w:right="460" w:hanging="316"/>
        <w:spacing w:after="0" w:line="290"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cash and cash equivalents to meet our liquidity needs, including estimates of our expenses, future revenues, capital expenditures and capital requirements;</w:t>
      </w:r>
    </w:p>
    <w:p>
      <w:pPr>
        <w:spacing w:after="0" w:line="96" w:lineRule="exact"/>
        <w:rPr>
          <w:rFonts w:ascii="Arial" w:cs="Arial" w:eastAsia="Arial" w:hAnsi="Arial"/>
          <w:sz w:val="18"/>
          <w:szCs w:val="18"/>
          <w:color w:val="auto"/>
        </w:rPr>
      </w:pPr>
    </w:p>
    <w:p>
      <w:pPr>
        <w:ind w:left="640" w:right="380" w:hanging="316"/>
        <w:spacing w:after="0" w:line="290"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equity or debt financing, the terms of any such financing, and our ability to bolster and restructure our balance sheet;</w:t>
      </w:r>
    </w:p>
    <w:p>
      <w:pPr>
        <w:spacing w:after="0" w:line="109"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our ATM Program (as defined below);</w:t>
      </w:r>
    </w:p>
    <w:p>
      <w:pPr>
        <w:spacing w:after="0" w:line="164" w:lineRule="exact"/>
        <w:rPr>
          <w:rFonts w:ascii="Arial" w:cs="Arial" w:eastAsia="Arial" w:hAnsi="Arial"/>
          <w:sz w:val="18"/>
          <w:szCs w:val="18"/>
          <w:color w:val="auto"/>
        </w:rPr>
      </w:pPr>
    </w:p>
    <w:p>
      <w:pPr>
        <w:ind w:left="640" w:hanging="316"/>
        <w:spacing w:after="0" w:line="260"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significant debt, including our ability to repay our indebtedness, limitations on our cash flows from operating activities and our ability to satisfy our obligations under our convertible senior notes (the “Notes”) and under our Loan and Security Agreement (as defined below); our ability to refinance the Notes; our ability to raise the funds necessary to repurchase the Notes for cash, under certain circumstances, or to pay any cash amounts due upon conversion; the significant dilution to existing stockholders that will result if we exchange any portion of our outstanding Notes for equity or if the lenders under the Loan and Security Agreement exercise their related warrants to purchase shares of our common stock (the “Warrants”), as further described herein; provisions in the indenture governing the Notes and the Loan and Security Agreement delaying or preventing an otherwise beneficial takeover of us; and any adverse impact on our reported financial condition and results from the accounting methods for the Notes;</w:t>
      </w:r>
    </w:p>
    <w:p>
      <w:pPr>
        <w:spacing w:after="0" w:line="127" w:lineRule="exact"/>
        <w:rPr>
          <w:rFonts w:ascii="Arial" w:cs="Arial" w:eastAsia="Arial" w:hAnsi="Arial"/>
          <w:sz w:val="18"/>
          <w:szCs w:val="18"/>
          <w:color w:val="auto"/>
        </w:rPr>
      </w:pPr>
    </w:p>
    <w:p>
      <w:pPr>
        <w:ind w:left="640" w:right="80" w:hanging="316"/>
        <w:spacing w:after="0" w:line="290"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a further decrease in demand, and the underlying factors negatively impacting demand, in the plant-based meat category, including the exacerbation of weakness in the category by the macroeconomic trends discussed in this report;</w:t>
      </w:r>
    </w:p>
    <w:p>
      <w:pPr>
        <w:spacing w:after="0" w:line="109" w:lineRule="exact"/>
        <w:rPr>
          <w:rFonts w:ascii="Arial" w:cs="Arial" w:eastAsia="Arial" w:hAnsi="Arial"/>
          <w:sz w:val="18"/>
          <w:szCs w:val="18"/>
          <w:color w:val="auto"/>
        </w:rPr>
      </w:pPr>
    </w:p>
    <w:p>
      <w:pPr>
        <w:ind w:left="640" w:right="120" w:hanging="316"/>
        <w:spacing w:after="0" w:line="267"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general economic conditions in the U.S. and international markets on us, our customers, our suppliers, our vendors and consumers, including concerns related to high inflation, geopolitical and economic uncertainty and instability and a potential recession, and the effects of those conditions on consumer spending;</w:t>
      </w:r>
    </w:p>
    <w:p>
      <w:pPr>
        <w:spacing w:after="0" w:line="130" w:lineRule="exact"/>
        <w:rPr>
          <w:rFonts w:ascii="Arial" w:cs="Arial" w:eastAsia="Arial" w:hAnsi="Arial"/>
          <w:sz w:val="18"/>
          <w:szCs w:val="18"/>
          <w:color w:val="auto"/>
        </w:rPr>
      </w:pPr>
    </w:p>
    <w:p>
      <w:pPr>
        <w:ind w:left="640" w:hanging="316"/>
        <w:spacing w:after="0" w:line="260"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adverse and uncertain political conditions in the U.S. and international markets, including conditions resulting from the change in the administration in the United States, such as greater restrictions on free trade through significant increases in tariffs on raw materials, ingredients, finished goods and other products and supplies imported into the United States and increased uncertainty surrounding international trade policy and regulations, trade wars, including through the implementation of retaliatory tariffs or related counter-measures, and the negative effects of anti-American sentiment;</w:t>
      </w:r>
    </w:p>
    <w:p>
      <w:pPr>
        <w:spacing w:after="0" w:line="137" w:lineRule="exact"/>
        <w:rPr>
          <w:rFonts w:ascii="Arial" w:cs="Arial" w:eastAsia="Arial" w:hAnsi="Arial"/>
          <w:sz w:val="18"/>
          <w:szCs w:val="18"/>
          <w:color w:val="auto"/>
        </w:rPr>
      </w:pPr>
    </w:p>
    <w:p>
      <w:pPr>
        <w:ind w:left="640" w:right="380" w:hanging="316"/>
        <w:spacing w:after="0" w:line="267"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and uncertainties related to identifying and executing certain cost-reduction initiatives, cost structure improvements, workforce reductions and executive leadership changes, and the timing and success of reducing operating expenses and achieving and/or sustaining our profitability and financial performance objectives;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14" w:lineRule="exact"/>
        <w:rPr>
          <w:sz w:val="20"/>
          <w:szCs w:val="20"/>
          <w:color w:val="auto"/>
        </w:rPr>
      </w:pPr>
    </w:p>
    <w:p>
      <w:pPr>
        <w:ind w:left="320" w:right="300" w:hanging="316"/>
        <w:spacing w:after="0" w:line="265"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and success of narrowing our commercial focus to certain anticipated growth opportunities; accelerating activities that prioritize gross margin expansion and cash generation, including as part of our review of our global operations initiated in November 2023 (“Global Operations Review”); changes to our pricing architecture within certain channels; cash-accretive inventory reduction initiatives; and further cost-reduction initiatives;</w:t>
      </w:r>
    </w:p>
    <w:p>
      <w:pPr>
        <w:spacing w:after="0" w:line="132" w:lineRule="exact"/>
        <w:rPr>
          <w:rFonts w:ascii="Arial" w:cs="Arial" w:eastAsia="Arial" w:hAnsi="Arial"/>
          <w:sz w:val="18"/>
          <w:szCs w:val="18"/>
          <w:color w:val="auto"/>
        </w:rPr>
      </w:pPr>
    </w:p>
    <w:p>
      <w:pPr>
        <w:ind w:left="320" w:hanging="316"/>
        <w:spacing w:after="0" w:line="260"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execute our Global Operations Review and any resulting strategic plans, including the exit or discontinuation of select product lines such as Beyond Meat Jerky; the impact of non-cash charges such as provision for excess and obsolete inventory and potential additional impairment charges, write-offs, disposals and accelerated depreciation of fixed assets, and losses on sale and write-down of fixed assets; further optimization of our manufacturing capacity and real estate footprint; planned and future reductions in our workforce; and the suspension of our operational activities in China in the first quarter of 2025;</w:t>
      </w:r>
    </w:p>
    <w:p>
      <w:pPr>
        <w:spacing w:after="0" w:line="137" w:lineRule="exact"/>
        <w:rPr>
          <w:rFonts w:ascii="Arial" w:cs="Arial" w:eastAsia="Arial" w:hAnsi="Arial"/>
          <w:sz w:val="18"/>
          <w:szCs w:val="18"/>
          <w:color w:val="auto"/>
        </w:rPr>
      </w:pPr>
    </w:p>
    <w:p>
      <w:pPr>
        <w:ind w:left="320" w:hanging="316"/>
        <w:spacing w:after="0" w:line="260"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matters relating to our El Segundo Campus and Innovation Center (“Campus Headquarters”) including, without limitation, the ability to meet our obligations under our Campus Headquarters lease (“Campus Lease”), the timing of occupancy and completion of the build-out of our remaining space, any cost overruns or delays, the unavailability of the tenant improvement allowance to pay for the build-out of our remaining space, the impact of workforce reductions or other cost-reduction initiatives on our space demands, and the timing and success of subleasing, assigning or otherwise transferring excess space or negotiating a partial lease termination at our Campus Headquarters on terms advantageous to us or at all, including any potential impairment charges that may result;</w:t>
      </w:r>
    </w:p>
    <w:p>
      <w:pPr>
        <w:spacing w:after="0" w:line="138" w:lineRule="exact"/>
        <w:rPr>
          <w:rFonts w:ascii="Arial" w:cs="Arial" w:eastAsia="Arial" w:hAnsi="Arial"/>
          <w:sz w:val="18"/>
          <w:szCs w:val="18"/>
          <w:color w:val="auto"/>
        </w:rPr>
      </w:pPr>
    </w:p>
    <w:p>
      <w:pPr>
        <w:ind w:left="320" w:right="320" w:hanging="316"/>
        <w:spacing w:after="0" w:line="290"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meet our obligations under leases for our corporate offices, manufacturing facilities and warehouses, or risks related to excess space capacity under our leases due to workforce reductions or other cost-reduction initiatives;</w:t>
      </w:r>
    </w:p>
    <w:p>
      <w:pPr>
        <w:spacing w:after="0" w:line="96" w:lineRule="exact"/>
        <w:rPr>
          <w:rFonts w:ascii="Arial" w:cs="Arial" w:eastAsia="Arial" w:hAnsi="Arial"/>
          <w:sz w:val="18"/>
          <w:szCs w:val="18"/>
          <w:color w:val="auto"/>
        </w:rPr>
      </w:pPr>
    </w:p>
    <w:p>
      <w:pPr>
        <w:ind w:left="320" w:right="420" w:hanging="316"/>
        <w:spacing w:after="0" w:line="290"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inflation and higher interest rates across the economy and on consumer behavior, including higher food, grocery, raw materials, transportation, energy, labor and fuel costs;</w:t>
      </w:r>
    </w:p>
    <w:p>
      <w:pPr>
        <w:spacing w:after="0" w:line="96" w:lineRule="exact"/>
        <w:rPr>
          <w:rFonts w:ascii="Arial" w:cs="Arial" w:eastAsia="Arial" w:hAnsi="Arial"/>
          <w:sz w:val="18"/>
          <w:szCs w:val="18"/>
          <w:color w:val="auto"/>
        </w:rPr>
      </w:pPr>
    </w:p>
    <w:p>
      <w:pPr>
        <w:ind w:left="320" w:right="160" w:hanging="316"/>
        <w:spacing w:after="0" w:line="275"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reduced consumer confidence and changes in consumer spending, including spending to purchase our products, and negative trends in consumer purchasing patterns due to levels of consumers’ disposable income, credit availability and debt levels, and economic conditions, including due to potential recessionary and inflationary pressures;</w:t>
      </w:r>
    </w:p>
    <w:p>
      <w:pPr>
        <w:spacing w:after="0" w:line="109" w:lineRule="exact"/>
        <w:rPr>
          <w:rFonts w:ascii="Arial" w:cs="Arial" w:eastAsia="Arial" w:hAnsi="Arial"/>
          <w:sz w:val="18"/>
          <w:szCs w:val="18"/>
          <w:color w:val="auto"/>
        </w:rPr>
      </w:pPr>
    </w:p>
    <w:p>
      <w:pPr>
        <w:jc w:val="both"/>
        <w:ind w:left="320" w:right="540" w:hanging="316"/>
        <w:spacing w:after="0" w:line="275"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properly manage and ultimately sell our inventory in a timely manner, which has in the past and could in the future require us to sell our products through liquidation channels at lower prices, write-down or write-off obsolete inventory, or increase inventory provision;</w:t>
      </w:r>
    </w:p>
    <w:p>
      <w:pPr>
        <w:spacing w:after="0" w:line="109" w:lineRule="exact"/>
        <w:rPr>
          <w:rFonts w:ascii="Arial" w:cs="Arial" w:eastAsia="Arial" w:hAnsi="Arial"/>
          <w:sz w:val="18"/>
          <w:szCs w:val="18"/>
          <w:color w:val="auto"/>
        </w:rPr>
      </w:pPr>
    </w:p>
    <w:p>
      <w:pPr>
        <w:ind w:left="320" w:right="380" w:hanging="316"/>
        <w:spacing w:after="0" w:line="264"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future impairment charges, including due to any future changes in estimates, judgments or assumptions, failure to achieve forecasted operating results, weakness in the economic environment, changes in market conditions, declines in our market capitalization, failure to sublease, assign or otherwise transfer excess space or negotiate a partial lease termination at our Campus Headquarters on terms advantageous to us or at all, and the suspension of our operational activities in China in the first quarter of 2025;</w:t>
      </w:r>
    </w:p>
    <w:p>
      <w:pPr>
        <w:spacing w:after="0" w:line="133" w:lineRule="exact"/>
        <w:rPr>
          <w:rFonts w:ascii="Arial" w:cs="Arial" w:eastAsia="Arial" w:hAnsi="Arial"/>
          <w:sz w:val="18"/>
          <w:szCs w:val="18"/>
          <w:color w:val="auto"/>
        </w:rPr>
      </w:pPr>
    </w:p>
    <w:p>
      <w:pPr>
        <w:ind w:left="320" w:hanging="316"/>
        <w:spacing w:after="0" w:line="267"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accurately predict consumer taste preferences, trends and demand and successfully innovate, introduce and commercialize new products, such as our Beyond Chicken Pieces, Beyond Sun Sausage and Beyond Steak lines, and improve existing products such as our Beyond IV platform, including in new geographic markets;</w:t>
      </w:r>
    </w:p>
    <w:p>
      <w:pPr>
        <w:spacing w:after="0" w:line="130" w:lineRule="exact"/>
        <w:rPr>
          <w:rFonts w:ascii="Arial" w:cs="Arial" w:eastAsia="Arial" w:hAnsi="Arial"/>
          <w:sz w:val="18"/>
          <w:szCs w:val="18"/>
          <w:color w:val="auto"/>
        </w:rPr>
      </w:pPr>
    </w:p>
    <w:p>
      <w:pPr>
        <w:ind w:left="320" w:hanging="316"/>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competitive activity from our market competitors and new market entrants;</w:t>
      </w:r>
    </w:p>
    <w:p>
      <w:pPr>
        <w:spacing w:after="0" w:line="164" w:lineRule="exact"/>
        <w:rPr>
          <w:rFonts w:ascii="Arial" w:cs="Arial" w:eastAsia="Arial" w:hAnsi="Arial"/>
          <w:sz w:val="18"/>
          <w:szCs w:val="18"/>
          <w:color w:val="auto"/>
        </w:rPr>
      </w:pPr>
    </w:p>
    <w:p>
      <w:pPr>
        <w:ind w:left="320" w:right="160" w:hanging="316"/>
        <w:spacing w:after="0" w:line="290"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protect our brand against misinformation about our products and the plant-based meat category, real or perceived quality or health issues with our products, marketing campaigns aimed at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169545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00"/>
          </w:cols>
          <w:pgMar w:left="640" w:top="1440" w:right="359" w:bottom="1440" w:gutter="0" w:footer="0" w:header="0"/>
        </w:sectPr>
      </w:pPr>
    </w:p>
    <w:bookmarkStart w:id="5" w:name="page6"/>
    <w:bookmarkEnd w:id="5"/>
    <w:p>
      <w:pPr>
        <w:spacing w:after="0" w:line="114" w:lineRule="exact"/>
        <w:rPr>
          <w:sz w:val="20"/>
          <w:szCs w:val="20"/>
          <w:color w:val="auto"/>
        </w:rPr>
      </w:pPr>
    </w:p>
    <w:p>
      <w:pPr>
        <w:ind w:left="320" w:right="100"/>
        <w:spacing w:after="0" w:line="290" w:lineRule="auto"/>
        <w:rPr>
          <w:sz w:val="20"/>
          <w:szCs w:val="20"/>
          <w:color w:val="auto"/>
        </w:rPr>
      </w:pPr>
      <w:r>
        <w:rPr>
          <w:rFonts w:ascii="Arial" w:cs="Arial" w:eastAsia="Arial" w:hAnsi="Arial"/>
          <w:sz w:val="18"/>
          <w:szCs w:val="18"/>
          <w:color w:val="auto"/>
        </w:rPr>
        <w:t>generating negative publicity regarding our products and the plant-based meat category, including regarding the nutritional value of our products, and other issues that could adversely affect our brand and reputation;</w:t>
      </w:r>
    </w:p>
    <w:p>
      <w:pPr>
        <w:spacing w:after="0" w:line="96" w:lineRule="exact"/>
        <w:rPr>
          <w:sz w:val="20"/>
          <w:szCs w:val="20"/>
          <w:color w:val="auto"/>
        </w:rPr>
      </w:pPr>
    </w:p>
    <w:p>
      <w:pPr>
        <w:ind w:left="320" w:right="320" w:hanging="316"/>
        <w:spacing w:after="0" w:line="275" w:lineRule="auto"/>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disruption to, and the impact of uncertainty in, our domestic and international supply chain, including labor shortages and disruption, shipping delays and disruption, the impact of tariffs on raw materials, ingredients, finished goods and other products and supplies imported into the U.S., and the impact of cyber incidents at suppliers and vendors;</w:t>
      </w:r>
    </w:p>
    <w:p>
      <w:pPr>
        <w:spacing w:after="0" w:line="109" w:lineRule="exact"/>
        <w:rPr>
          <w:rFonts w:ascii="Arial" w:cs="Arial" w:eastAsia="Arial" w:hAnsi="Arial"/>
          <w:sz w:val="18"/>
          <w:szCs w:val="18"/>
          <w:color w:val="auto"/>
        </w:rPr>
      </w:pPr>
    </w:p>
    <w:p>
      <w:pPr>
        <w:ind w:left="320" w:hanging="316"/>
        <w:spacing w:after="0" w:line="275" w:lineRule="auto"/>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streamline operations and improve cost efficiencies, which could result in the contraction of our business and the continued implementation of significant cost cutting measures such as further downsizing and exiting certain operations, including product lines, domestically and/or abroad;</w:t>
      </w:r>
    </w:p>
    <w:p>
      <w:pPr>
        <w:spacing w:after="0" w:line="109" w:lineRule="exact"/>
        <w:rPr>
          <w:rFonts w:ascii="Arial" w:cs="Arial" w:eastAsia="Arial" w:hAnsi="Arial"/>
          <w:sz w:val="18"/>
          <w:szCs w:val="18"/>
          <w:color w:val="auto"/>
        </w:rPr>
      </w:pPr>
    </w:p>
    <w:p>
      <w:pPr>
        <w:ind w:left="320" w:right="20" w:hanging="316"/>
        <w:spacing w:after="0" w:line="290" w:lineRule="auto"/>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uncertainty as a result of doing business internationally, including as a result of the suspension of our operational activities in China in the first quarter of 2025;</w:t>
      </w:r>
    </w:p>
    <w:p>
      <w:pPr>
        <w:spacing w:after="0" w:line="109" w:lineRule="exact"/>
        <w:rPr>
          <w:rFonts w:ascii="Arial" w:cs="Arial" w:eastAsia="Arial" w:hAnsi="Arial"/>
          <w:sz w:val="18"/>
          <w:szCs w:val="18"/>
          <w:color w:val="auto"/>
        </w:rPr>
      </w:pPr>
    </w:p>
    <w:p>
      <w:pPr>
        <w:ind w:left="320" w:right="180" w:hanging="316"/>
        <w:spacing w:after="0" w:line="274" w:lineRule="auto"/>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volatility of or inability to access the capital markets, including due to macroeconomic factors, geopolitical tensions or the outbreak of hostilities or war—for example, the war in Ukraine and the conflict in Israel, Gaza and surrounding areas;</w:t>
      </w:r>
    </w:p>
    <w:p>
      <w:pPr>
        <w:spacing w:after="0" w:line="123" w:lineRule="exact"/>
        <w:rPr>
          <w:rFonts w:ascii="Arial" w:cs="Arial" w:eastAsia="Arial" w:hAnsi="Arial"/>
          <w:sz w:val="18"/>
          <w:szCs w:val="18"/>
          <w:color w:val="auto"/>
        </w:rPr>
      </w:pPr>
    </w:p>
    <w:p>
      <w:pPr>
        <w:ind w:left="320" w:right="120" w:hanging="316"/>
        <w:spacing w:after="0" w:line="264" w:lineRule="auto"/>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retail landscape, including our ability to maintain and expand our distribution footprint, the timing, success and level of trade and promotion discounts, our ability to maintain and grow market share and increase household penetration, repeat purchases, buying rates (amount spent per buyer) and purchase frequency, our ability to maintain and increase sales velocity of our products, and the timing and success of planned new products or recently launched products, including Beyond Chicken Pieces, Beyond Steak, Beyond IV and Beyond Sun Sausage;</w:t>
      </w:r>
    </w:p>
    <w:p>
      <w:pPr>
        <w:spacing w:after="0" w:line="120" w:lineRule="exact"/>
        <w:rPr>
          <w:rFonts w:ascii="Arial" w:cs="Arial" w:eastAsia="Arial" w:hAnsi="Arial"/>
          <w:sz w:val="18"/>
          <w:szCs w:val="18"/>
          <w:color w:val="auto"/>
        </w:rPr>
      </w:pPr>
    </w:p>
    <w:p>
      <w:pPr>
        <w:ind w:left="320" w:right="20" w:hanging="316"/>
        <w:spacing w:after="0" w:line="267" w:lineRule="auto"/>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foodservice landscape, including the timing, success and level of marketing and other financial incentives to assist in the promotion of our products, our ability to maintain and grow market share and attract and retain new foodservice customers or retain existing foodservice customers, and our ability to introduce and sustain offering of our products on menus;</w:t>
      </w:r>
    </w:p>
    <w:p>
      <w:pPr>
        <w:spacing w:after="0" w:line="130" w:lineRule="exact"/>
        <w:rPr>
          <w:rFonts w:ascii="Arial" w:cs="Arial" w:eastAsia="Arial" w:hAnsi="Arial"/>
          <w:sz w:val="18"/>
          <w:szCs w:val="18"/>
          <w:color w:val="auto"/>
        </w:rPr>
      </w:pPr>
    </w:p>
    <w:p>
      <w:pPr>
        <w:ind w:left="320" w:right="480" w:hanging="316"/>
        <w:spacing w:after="0" w:line="267" w:lineRule="auto"/>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and success of distribution expansion and new product introductions, including the timing and success of planned new products or recently launched products, such as Beyond Chicken Pieces, Beyond Steak, Beyond IV and Beyond Sun Sausage, in increasing revenues and market share;</w:t>
      </w:r>
    </w:p>
    <w:p>
      <w:pPr>
        <w:spacing w:after="0" w:line="130" w:lineRule="exact"/>
        <w:rPr>
          <w:rFonts w:ascii="Arial" w:cs="Arial" w:eastAsia="Arial" w:hAnsi="Arial"/>
          <w:sz w:val="18"/>
          <w:szCs w:val="18"/>
          <w:color w:val="auto"/>
        </w:rPr>
      </w:pPr>
    </w:p>
    <w:p>
      <w:pPr>
        <w:ind w:left="320" w:right="80" w:hanging="316"/>
        <w:spacing w:after="0" w:line="267" w:lineRule="auto"/>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differentiate and continuously create innovative products, respond to competitive innovation and achieve speed-to-market, including the timing and success of planned new products or recently launched products such as Beyond Chicken Pieces, Beyond Steak, Beyond IV and Beyond Sun Sausage;</w:t>
      </w:r>
    </w:p>
    <w:p>
      <w:pPr>
        <w:spacing w:after="0" w:line="130" w:lineRule="exact"/>
        <w:rPr>
          <w:rFonts w:ascii="Arial" w:cs="Arial" w:eastAsia="Arial" w:hAnsi="Arial"/>
          <w:sz w:val="18"/>
          <w:szCs w:val="18"/>
          <w:color w:val="auto"/>
        </w:rPr>
      </w:pPr>
    </w:p>
    <w:p>
      <w:pPr>
        <w:ind w:left="320" w:right="580" w:hanging="316"/>
        <w:spacing w:after="0" w:line="290" w:lineRule="auto"/>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and success of strategic Quick Service Restaurant (“QSR”) partnership launches and limited time offerings resulting in permanent menu items;</w:t>
      </w:r>
    </w:p>
    <w:p>
      <w:pPr>
        <w:spacing w:after="0" w:line="96" w:lineRule="exact"/>
        <w:rPr>
          <w:rFonts w:ascii="Arial" w:cs="Arial" w:eastAsia="Arial" w:hAnsi="Arial"/>
          <w:sz w:val="18"/>
          <w:szCs w:val="18"/>
          <w:color w:val="auto"/>
        </w:rPr>
      </w:pPr>
    </w:p>
    <w:p>
      <w:pPr>
        <w:ind w:left="320" w:hanging="316"/>
        <w:spacing w:after="0"/>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outcomes of, and costs related to, legal or administrative proceedings, or new legal or administrative proceedings filed against us;</w:t>
      </w:r>
    </w:p>
    <w:p>
      <w:pPr>
        <w:spacing w:after="0" w:line="188" w:lineRule="exact"/>
        <w:rPr>
          <w:rFonts w:ascii="Arial" w:cs="Arial" w:eastAsia="Arial" w:hAnsi="Arial"/>
          <w:sz w:val="17"/>
          <w:szCs w:val="17"/>
          <w:color w:val="auto"/>
        </w:rPr>
      </w:pPr>
    </w:p>
    <w:p>
      <w:pPr>
        <w:ind w:left="320" w:hanging="316"/>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foreign currency exchange rate fluctuations;</w:t>
      </w:r>
    </w:p>
    <w:p>
      <w:pPr>
        <w:spacing w:after="0" w:line="177" w:lineRule="exact"/>
        <w:rPr>
          <w:rFonts w:ascii="Arial" w:cs="Arial" w:eastAsia="Arial" w:hAnsi="Arial"/>
          <w:sz w:val="18"/>
          <w:szCs w:val="18"/>
          <w:color w:val="auto"/>
        </w:rPr>
      </w:pPr>
    </w:p>
    <w:p>
      <w:pPr>
        <w:ind w:left="320" w:hanging="316"/>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effectiveness of our business systems and processes;</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estimates of the size of our market opportunities and ability to accurately forecast market growth;</w:t>
      </w:r>
    </w:p>
    <w:p>
      <w:pPr>
        <w:spacing w:after="0" w:line="177" w:lineRule="exact"/>
        <w:rPr>
          <w:rFonts w:ascii="Arial" w:cs="Arial" w:eastAsia="Arial" w:hAnsi="Arial"/>
          <w:sz w:val="18"/>
          <w:szCs w:val="18"/>
          <w:color w:val="auto"/>
        </w:rPr>
      </w:pPr>
    </w:p>
    <w:p>
      <w:pPr>
        <w:ind w:left="320" w:right="420" w:hanging="316"/>
        <w:spacing w:after="0" w:line="267" w:lineRule="auto"/>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effectively optimize our manufacturing and production capacity, and real estate footprint, including consolidating manufacturing facilities and production lines, exiting co-manufacturing arrangements and effectively managing capacity for specific products with shifts in demand;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169545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20"/>
          </w:cols>
          <w:pgMar w:left="640" w:top="1440" w:right="339" w:bottom="1440" w:gutter="0" w:footer="0" w:header="0"/>
        </w:sectPr>
      </w:pPr>
    </w:p>
    <w:bookmarkStart w:id="6" w:name="page7"/>
    <w:bookmarkEnd w:id="6"/>
    <w:p>
      <w:pPr>
        <w:spacing w:after="0" w:line="114" w:lineRule="exact"/>
        <w:rPr>
          <w:sz w:val="20"/>
          <w:szCs w:val="20"/>
          <w:color w:val="auto"/>
        </w:rPr>
      </w:pPr>
    </w:p>
    <w:p>
      <w:pPr>
        <w:ind w:left="320" w:hanging="316"/>
        <w:spacing w:after="0" w:line="265" w:lineRule="auto"/>
        <w:tabs>
          <w:tab w:leader="none" w:pos="315"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associated with underutilization of capacity which have in the past and could in the future give rise to increased cost of goods sold per unit, underutilization fees, termination fees and other costs to exit certain supply chain arrangements and product lines, and/or the write-down or write-off of certain equipment and other fixed assets and impairment charges, all of which could negatively impact gross margin;</w:t>
      </w:r>
    </w:p>
    <w:p>
      <w:pPr>
        <w:spacing w:after="0" w:line="132" w:lineRule="exact"/>
        <w:rPr>
          <w:rFonts w:ascii="Arial" w:cs="Arial" w:eastAsia="Arial" w:hAnsi="Arial"/>
          <w:sz w:val="18"/>
          <w:szCs w:val="18"/>
          <w:color w:val="auto"/>
        </w:rPr>
      </w:pPr>
    </w:p>
    <w:p>
      <w:pPr>
        <w:ind w:left="320" w:right="320" w:hanging="316"/>
        <w:spacing w:after="0" w:line="267" w:lineRule="auto"/>
        <w:tabs>
          <w:tab w:leader="none" w:pos="31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accurately forecast our future results of operations and financial goals or targets, including as a result of fluctuations in demand for our products and in the plant-based meat category generally, increased competition, and the impact of broader macroeconomic conditions and market uncertainty;</w:t>
      </w:r>
    </w:p>
    <w:p>
      <w:pPr>
        <w:spacing w:after="0" w:line="130" w:lineRule="exact"/>
        <w:rPr>
          <w:rFonts w:ascii="Arial" w:cs="Arial" w:eastAsia="Arial" w:hAnsi="Arial"/>
          <w:sz w:val="18"/>
          <w:szCs w:val="18"/>
          <w:color w:val="auto"/>
        </w:rPr>
      </w:pPr>
    </w:p>
    <w:p>
      <w:pPr>
        <w:ind w:left="320" w:right="80" w:hanging="316"/>
        <w:spacing w:after="0" w:line="265" w:lineRule="auto"/>
        <w:tabs>
          <w:tab w:leader="none" w:pos="31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accurately forecast demand for our products and manage our inventory, including the impact of customer orders ahead of holidays, shelf reset activities, and planned price increases in certain channels as a result of tariffs or otherwise; customer and distributor changes and buying patterns, such as reductions in targeted inventory levels; and supply chain and labor disruptions, including due to the impact of cyber incidents at suppliers and vendors;</w:t>
      </w:r>
    </w:p>
    <w:p>
      <w:pPr>
        <w:spacing w:after="0" w:line="119" w:lineRule="exact"/>
        <w:rPr>
          <w:rFonts w:ascii="Arial" w:cs="Arial" w:eastAsia="Arial" w:hAnsi="Arial"/>
          <w:sz w:val="18"/>
          <w:szCs w:val="18"/>
          <w:color w:val="auto"/>
        </w:rPr>
      </w:pPr>
    </w:p>
    <w:p>
      <w:pPr>
        <w:ind w:left="320" w:hanging="316"/>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operational effectiveness and ability to fulfill orders in full and on time;</w:t>
      </w:r>
    </w:p>
    <w:p>
      <w:pPr>
        <w:spacing w:after="0" w:line="177" w:lineRule="exact"/>
        <w:rPr>
          <w:rFonts w:ascii="Arial" w:cs="Arial" w:eastAsia="Arial" w:hAnsi="Arial"/>
          <w:sz w:val="18"/>
          <w:szCs w:val="18"/>
          <w:color w:val="auto"/>
        </w:rPr>
      </w:pPr>
    </w:p>
    <w:p>
      <w:pPr>
        <w:ind w:left="320" w:right="40" w:hanging="316"/>
        <w:spacing w:after="0" w:line="267" w:lineRule="auto"/>
        <w:tabs>
          <w:tab w:leader="none" w:pos="315" w:val="left"/>
        </w:tabs>
        <w:numPr>
          <w:ilvl w:val="0"/>
          <w:numId w:val="6"/>
        </w:numPr>
        <w:rPr>
          <w:rFonts w:ascii="Arial" w:cs="Arial" w:eastAsia="Arial" w:hAnsi="Arial"/>
          <w:sz w:val="18"/>
          <w:szCs w:val="18"/>
          <w:color w:val="auto"/>
        </w:rPr>
      </w:pPr>
      <w:r>
        <w:rPr>
          <w:rFonts w:ascii="Arial" w:cs="Arial" w:eastAsia="Arial" w:hAnsi="Arial"/>
          <w:sz w:val="18"/>
          <w:szCs w:val="18"/>
          <w:color w:val="auto"/>
        </w:rPr>
        <w:t>variations in product selling prices and costs, the timing and success of changes to our pricing architecture within certain channels, our ability to pass on price increases in full or at all, including due to the impact of tariffs and macroeconomic conditions, and the mix of products sold;</w:t>
      </w:r>
    </w:p>
    <w:p>
      <w:pPr>
        <w:spacing w:after="0" w:line="130" w:lineRule="exact"/>
        <w:rPr>
          <w:rFonts w:ascii="Arial" w:cs="Arial" w:eastAsia="Arial" w:hAnsi="Arial"/>
          <w:sz w:val="18"/>
          <w:szCs w:val="18"/>
          <w:color w:val="auto"/>
        </w:rPr>
      </w:pPr>
    </w:p>
    <w:p>
      <w:pPr>
        <w:jc w:val="both"/>
        <w:ind w:left="320" w:right="100" w:hanging="316"/>
        <w:spacing w:after="0" w:line="267" w:lineRule="auto"/>
        <w:tabs>
          <w:tab w:leader="none" w:pos="31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successfully enter new geographic markets, manage our international business and comply with any applicable laws and regulations, including risks associated with doing business in foreign countries, and our ability to comply with the U.S. Foreign Corrupt Practices Act (“FCPA”) or other anti-corruption laws;</w:t>
      </w:r>
    </w:p>
    <w:p>
      <w:pPr>
        <w:spacing w:after="0" w:line="130" w:lineRule="exact"/>
        <w:rPr>
          <w:rFonts w:ascii="Arial" w:cs="Arial" w:eastAsia="Arial" w:hAnsi="Arial"/>
          <w:sz w:val="18"/>
          <w:szCs w:val="18"/>
          <w:color w:val="auto"/>
        </w:rPr>
      </w:pPr>
    </w:p>
    <w:p>
      <w:pPr>
        <w:ind w:left="320" w:right="20" w:hanging="316"/>
        <w:spacing w:after="0" w:line="274" w:lineRule="auto"/>
        <w:tabs>
          <w:tab w:leader="none" w:pos="31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effects of global outbreaks of pandemics (such as the COVID-19 pandemic), epidemics or other public health crises, or fear of such crises;</w:t>
      </w:r>
    </w:p>
    <w:p>
      <w:pPr>
        <w:spacing w:after="0" w:line="123" w:lineRule="exact"/>
        <w:rPr>
          <w:rFonts w:ascii="Arial" w:cs="Arial" w:eastAsia="Arial" w:hAnsi="Arial"/>
          <w:sz w:val="18"/>
          <w:szCs w:val="18"/>
          <w:color w:val="auto"/>
        </w:rPr>
      </w:pPr>
    </w:p>
    <w:p>
      <w:pPr>
        <w:ind w:left="320" w:right="200" w:hanging="316"/>
        <w:spacing w:after="0" w:line="267" w:lineRule="auto"/>
        <w:tabs>
          <w:tab w:leader="none" w:pos="31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success of our marketing initiatives and the ability to maintain and grow our brand awareness, maintain, protect and enhance our brand, attract and retain new customers and maintain and grow our market share, particularly while we are seeking to reduce our operating expenses;</w:t>
      </w:r>
    </w:p>
    <w:p>
      <w:pPr>
        <w:spacing w:after="0" w:line="130" w:lineRule="exact"/>
        <w:rPr>
          <w:rFonts w:ascii="Arial" w:cs="Arial" w:eastAsia="Arial" w:hAnsi="Arial"/>
          <w:sz w:val="18"/>
          <w:szCs w:val="18"/>
          <w:color w:val="auto"/>
        </w:rPr>
      </w:pPr>
    </w:p>
    <w:p>
      <w:pPr>
        <w:ind w:left="320" w:hanging="316"/>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attract, maintain and effectively expand our relationships with key strategic foodservice partners;</w:t>
      </w:r>
    </w:p>
    <w:p>
      <w:pPr>
        <w:spacing w:after="0" w:line="177" w:lineRule="exact"/>
        <w:rPr>
          <w:rFonts w:ascii="Arial" w:cs="Arial" w:eastAsia="Arial" w:hAnsi="Arial"/>
          <w:sz w:val="18"/>
          <w:szCs w:val="18"/>
          <w:color w:val="auto"/>
        </w:rPr>
      </w:pPr>
    </w:p>
    <w:p>
      <w:pPr>
        <w:ind w:left="320" w:hanging="316"/>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attract and retain our suppliers, distributors, vendors, co-manufacturers and customers;</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procure sufficient high-quality raw materials at competitive prices to manufacture our products;</w:t>
      </w:r>
    </w:p>
    <w:p>
      <w:pPr>
        <w:spacing w:after="0" w:line="177" w:lineRule="exact"/>
        <w:rPr>
          <w:rFonts w:ascii="Arial" w:cs="Arial" w:eastAsia="Arial" w:hAnsi="Arial"/>
          <w:sz w:val="18"/>
          <w:szCs w:val="18"/>
          <w:color w:val="auto"/>
        </w:rPr>
      </w:pPr>
    </w:p>
    <w:p>
      <w:pPr>
        <w:ind w:left="320" w:hanging="316"/>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availability of pea and other proteins and avocado oil that meet our standards;</w:t>
      </w:r>
    </w:p>
    <w:p>
      <w:pPr>
        <w:spacing w:after="0" w:line="177" w:lineRule="exact"/>
        <w:rPr>
          <w:rFonts w:ascii="Arial" w:cs="Arial" w:eastAsia="Arial" w:hAnsi="Arial"/>
          <w:sz w:val="18"/>
          <w:szCs w:val="18"/>
          <w:color w:val="auto"/>
        </w:rPr>
      </w:pPr>
    </w:p>
    <w:p>
      <w:pPr>
        <w:ind w:left="320" w:hanging="316"/>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diversify the protein sources and avocado oil sources used for our products;</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successfully execute our strategic initiatives;</w:t>
      </w:r>
    </w:p>
    <w:p>
      <w:pPr>
        <w:spacing w:after="0" w:line="177" w:lineRule="exact"/>
        <w:rPr>
          <w:rFonts w:ascii="Arial" w:cs="Arial" w:eastAsia="Arial" w:hAnsi="Arial"/>
          <w:sz w:val="18"/>
          <w:szCs w:val="18"/>
          <w:color w:val="auto"/>
        </w:rPr>
      </w:pPr>
    </w:p>
    <w:p>
      <w:pPr>
        <w:ind w:left="320" w:hanging="316"/>
        <w:spacing w:after="0"/>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volatility associated with ingredient, packaging, transportation and other input costs, including due to the impact of tariffs;</w:t>
      </w:r>
    </w:p>
    <w:p>
      <w:pPr>
        <w:spacing w:after="0" w:line="177" w:lineRule="exact"/>
        <w:rPr>
          <w:rFonts w:ascii="Arial" w:cs="Arial" w:eastAsia="Arial" w:hAnsi="Arial"/>
          <w:sz w:val="18"/>
          <w:szCs w:val="18"/>
          <w:color w:val="auto"/>
        </w:rPr>
      </w:pPr>
    </w:p>
    <w:p>
      <w:pPr>
        <w:ind w:left="320" w:right="340" w:hanging="316"/>
        <w:spacing w:after="0" w:line="274" w:lineRule="auto"/>
        <w:tabs>
          <w:tab w:leader="none" w:pos="31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keep pace with technological changes impacting the development of our products and implementation of our business needs;</w:t>
      </w:r>
    </w:p>
    <w:p>
      <w:pPr>
        <w:spacing w:after="0" w:line="123" w:lineRule="exact"/>
        <w:rPr>
          <w:rFonts w:ascii="Arial" w:cs="Arial" w:eastAsia="Arial" w:hAnsi="Arial"/>
          <w:sz w:val="18"/>
          <w:szCs w:val="18"/>
          <w:color w:val="auto"/>
        </w:rPr>
      </w:pPr>
    </w:p>
    <w:p>
      <w:pPr>
        <w:ind w:left="320" w:right="40" w:hanging="316"/>
        <w:spacing w:after="0" w:line="267" w:lineRule="auto"/>
        <w:tabs>
          <w:tab w:leader="none" w:pos="315"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 disruption in, or breach in security of our or our suppliers’ or vendors’ information technology systems, including any inability to detect or timely report any cybersecurity incidents, and resultant interruptions in service and any related impact on our reputation, including data privacy, and any</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169545</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860"/>
          </w:cols>
          <w:pgMar w:left="640" w:top="1440" w:right="399" w:bottom="1440" w:gutter="0" w:footer="0" w:header="0"/>
        </w:sectPr>
      </w:pPr>
    </w:p>
    <w:bookmarkStart w:id="7" w:name="page8"/>
    <w:bookmarkEnd w:id="7"/>
    <w:p>
      <w:pPr>
        <w:spacing w:after="0" w:line="114" w:lineRule="exact"/>
        <w:rPr>
          <w:sz w:val="20"/>
          <w:szCs w:val="20"/>
          <w:color w:val="auto"/>
        </w:rPr>
      </w:pPr>
    </w:p>
    <w:p>
      <w:pPr>
        <w:ind w:left="320" w:right="360"/>
        <w:spacing w:after="0" w:line="290" w:lineRule="auto"/>
        <w:rPr>
          <w:sz w:val="20"/>
          <w:szCs w:val="20"/>
          <w:color w:val="auto"/>
        </w:rPr>
      </w:pPr>
      <w:r>
        <w:rPr>
          <w:rFonts w:ascii="Arial" w:cs="Arial" w:eastAsia="Arial" w:hAnsi="Arial"/>
          <w:sz w:val="18"/>
          <w:szCs w:val="18"/>
          <w:color w:val="auto"/>
        </w:rPr>
        <w:t>potential impact on our supply chain, including on customer demand, order fulfillment and lost sales, and the resulting timing and/or amount of net revenues recognized;</w:t>
      </w:r>
    </w:p>
    <w:p>
      <w:pPr>
        <w:spacing w:after="0" w:line="96" w:lineRule="exact"/>
        <w:rPr>
          <w:sz w:val="20"/>
          <w:szCs w:val="20"/>
          <w:color w:val="auto"/>
        </w:rPr>
      </w:pPr>
    </w:p>
    <w:p>
      <w:pPr>
        <w:ind w:left="320" w:hanging="316"/>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our transportation providers to ship and deliver our products in a timely and cost-effective manner;</w:t>
      </w:r>
    </w:p>
    <w:p>
      <w:pPr>
        <w:spacing w:after="0" w:line="177" w:lineRule="exact"/>
        <w:rPr>
          <w:rFonts w:ascii="Arial" w:cs="Arial" w:eastAsia="Arial" w:hAnsi="Arial"/>
          <w:sz w:val="18"/>
          <w:szCs w:val="18"/>
          <w:color w:val="auto"/>
        </w:rPr>
      </w:pPr>
    </w:p>
    <w:p>
      <w:pPr>
        <w:ind w:left="320" w:right="260" w:hanging="316"/>
        <w:spacing w:after="0" w:line="290" w:lineRule="auto"/>
        <w:tabs>
          <w:tab w:leader="none" w:pos="315" w:val="left"/>
        </w:tabs>
        <w:numPr>
          <w:ilvl w:val="0"/>
          <w:numId w:val="7"/>
        </w:numPr>
        <w:rPr>
          <w:rFonts w:ascii="Arial" w:cs="Arial" w:eastAsia="Arial" w:hAnsi="Arial"/>
          <w:sz w:val="18"/>
          <w:szCs w:val="18"/>
          <w:color w:val="auto"/>
        </w:rPr>
      </w:pPr>
      <w:r>
        <w:rPr>
          <w:rFonts w:ascii="Arial" w:cs="Arial" w:eastAsia="Arial" w:hAnsi="Arial"/>
          <w:sz w:val="18"/>
          <w:szCs w:val="18"/>
          <w:color w:val="auto"/>
        </w:rPr>
        <w:t>senior management and key personnel changes, the attraction, training and retention of qualified employees and key personnel, and our ability to maintain our company culture;</w:t>
      </w:r>
    </w:p>
    <w:p>
      <w:pPr>
        <w:spacing w:after="0" w:line="96" w:lineRule="exact"/>
        <w:rPr>
          <w:rFonts w:ascii="Arial" w:cs="Arial" w:eastAsia="Arial" w:hAnsi="Arial"/>
          <w:sz w:val="18"/>
          <w:szCs w:val="18"/>
          <w:color w:val="auto"/>
        </w:rPr>
      </w:pPr>
    </w:p>
    <w:p>
      <w:pPr>
        <w:ind w:left="320" w:hanging="316"/>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effects of organizational changes including reductions-in-force and realignment of reporting structures;</w:t>
      </w:r>
    </w:p>
    <w:p>
      <w:pPr>
        <w:spacing w:after="0" w:line="177" w:lineRule="exact"/>
        <w:rPr>
          <w:rFonts w:ascii="Arial" w:cs="Arial" w:eastAsia="Arial" w:hAnsi="Arial"/>
          <w:sz w:val="18"/>
          <w:szCs w:val="18"/>
          <w:color w:val="auto"/>
        </w:rPr>
      </w:pPr>
    </w:p>
    <w:p>
      <w:pPr>
        <w:ind w:left="320" w:right="60" w:hanging="316"/>
        <w:spacing w:after="0" w:line="267" w:lineRule="auto"/>
        <w:tabs>
          <w:tab w:leader="none" w:pos="315"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related to use of a professional employer organization to administer human resources, payroll and employee benefits functions for certain of our international employees, and use of certain third party service providers for the performance of several business operations including payroll and human capital management services;</w:t>
      </w:r>
    </w:p>
    <w:p>
      <w:pPr>
        <w:spacing w:after="0" w:line="130" w:lineRule="exact"/>
        <w:rPr>
          <w:rFonts w:ascii="Arial" w:cs="Arial" w:eastAsia="Arial" w:hAnsi="Arial"/>
          <w:sz w:val="18"/>
          <w:szCs w:val="18"/>
          <w:color w:val="auto"/>
        </w:rPr>
      </w:pPr>
    </w:p>
    <w:p>
      <w:pPr>
        <w:ind w:left="320" w:hanging="316"/>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potential workplace hazards;</w:t>
      </w:r>
    </w:p>
    <w:p>
      <w:pPr>
        <w:spacing w:after="0" w:line="177" w:lineRule="exact"/>
        <w:rPr>
          <w:rFonts w:ascii="Arial" w:cs="Arial" w:eastAsia="Arial" w:hAnsi="Arial"/>
          <w:sz w:val="18"/>
          <w:szCs w:val="18"/>
          <w:color w:val="auto"/>
        </w:rPr>
      </w:pPr>
    </w:p>
    <w:p>
      <w:pPr>
        <w:ind w:left="320" w:right="200" w:hanging="316"/>
        <w:spacing w:after="0" w:line="267" w:lineRule="auto"/>
        <w:tabs>
          <w:tab w:leader="none" w:pos="31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effects of natural or man-made catastrophic or severe weather events, including events brought on by climate change, particularly involving our or any of our co-manufacturers’ manufacturing facilities, our suppliers’ facilities or any other vital aspects of our supply chain;</w:t>
      </w:r>
    </w:p>
    <w:p>
      <w:pPr>
        <w:spacing w:after="0" w:line="130" w:lineRule="exact"/>
        <w:rPr>
          <w:rFonts w:ascii="Arial" w:cs="Arial" w:eastAsia="Arial" w:hAnsi="Arial"/>
          <w:sz w:val="18"/>
          <w:szCs w:val="18"/>
          <w:color w:val="auto"/>
        </w:rPr>
      </w:pPr>
    </w:p>
    <w:p>
      <w:pPr>
        <w:ind w:left="320" w:hanging="316"/>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effectiveness of our internal controls;</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accounting estimates based on judgment and assumptions that may differ from actual results;</w:t>
      </w:r>
    </w:p>
    <w:p>
      <w:pPr>
        <w:spacing w:after="0" w:line="177" w:lineRule="exact"/>
        <w:rPr>
          <w:rFonts w:ascii="Arial" w:cs="Arial" w:eastAsia="Arial" w:hAnsi="Arial"/>
          <w:sz w:val="18"/>
          <w:szCs w:val="18"/>
          <w:color w:val="auto"/>
        </w:rPr>
      </w:pPr>
    </w:p>
    <w:p>
      <w:pPr>
        <w:jc w:val="both"/>
        <w:ind w:left="320" w:right="840" w:hanging="316"/>
        <w:spacing w:after="0" w:line="267" w:lineRule="auto"/>
        <w:tabs>
          <w:tab w:leader="none" w:pos="315"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laws and government regulation, and their enforcement, affecting our business, including the U.S. Food and Drug Administration (“FDA”) and the U.S. Federal Trade Commission (“FTC”) governmental regulation, and state, local and foreign regulation;</w:t>
      </w:r>
    </w:p>
    <w:p>
      <w:pPr>
        <w:spacing w:after="0" w:line="130" w:lineRule="exact"/>
        <w:rPr>
          <w:rFonts w:ascii="Arial" w:cs="Arial" w:eastAsia="Arial" w:hAnsi="Arial"/>
          <w:sz w:val="18"/>
          <w:szCs w:val="18"/>
          <w:color w:val="auto"/>
        </w:rPr>
      </w:pPr>
    </w:p>
    <w:p>
      <w:pPr>
        <w:ind w:left="320" w:right="420" w:hanging="316"/>
        <w:spacing w:after="0" w:line="267" w:lineRule="auto"/>
        <w:tabs>
          <w:tab w:leader="none" w:pos="315"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or pending legislation, or changes in laws, regulations or policies of governmental agencies or regulators, both in the U.S. and abroad, affecting plant-based meat, the labeling, packaging or naming of our products, including requirements regarding nutrient content claims, or our brand name or logo;</w:t>
      </w:r>
    </w:p>
    <w:p>
      <w:pPr>
        <w:spacing w:after="0" w:line="130" w:lineRule="exact"/>
        <w:rPr>
          <w:rFonts w:ascii="Arial" w:cs="Arial" w:eastAsia="Arial" w:hAnsi="Arial"/>
          <w:sz w:val="18"/>
          <w:szCs w:val="18"/>
          <w:color w:val="auto"/>
        </w:rPr>
      </w:pPr>
    </w:p>
    <w:p>
      <w:pPr>
        <w:ind w:left="320" w:hanging="316"/>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failure of acquisitions and other investments to be efficiently integrated and produce the results we anticipate;</w:t>
      </w:r>
    </w:p>
    <w:p>
      <w:pPr>
        <w:spacing w:after="0" w:line="164" w:lineRule="exact"/>
        <w:rPr>
          <w:rFonts w:ascii="Arial" w:cs="Arial" w:eastAsia="Arial" w:hAnsi="Arial"/>
          <w:sz w:val="18"/>
          <w:szCs w:val="18"/>
          <w:color w:val="auto"/>
        </w:rPr>
      </w:pPr>
    </w:p>
    <w:p>
      <w:pPr>
        <w:ind w:left="320" w:hanging="316"/>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inherent in investment in real estate;</w:t>
      </w:r>
    </w:p>
    <w:p>
      <w:pPr>
        <w:spacing w:after="0" w:line="177" w:lineRule="exact"/>
        <w:rPr>
          <w:rFonts w:ascii="Arial" w:cs="Arial" w:eastAsia="Arial" w:hAnsi="Arial"/>
          <w:sz w:val="18"/>
          <w:szCs w:val="18"/>
          <w:color w:val="auto"/>
        </w:rPr>
      </w:pPr>
    </w:p>
    <w:p>
      <w:pPr>
        <w:ind w:left="320" w:hanging="316"/>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developments affecting the financial services industry;</w:t>
      </w:r>
    </w:p>
    <w:p>
      <w:pPr>
        <w:spacing w:after="0" w:line="177" w:lineRule="exact"/>
        <w:rPr>
          <w:rFonts w:ascii="Arial" w:cs="Arial" w:eastAsia="Arial" w:hAnsi="Arial"/>
          <w:sz w:val="18"/>
          <w:szCs w:val="18"/>
          <w:color w:val="auto"/>
        </w:rPr>
      </w:pPr>
    </w:p>
    <w:p>
      <w:pPr>
        <w:ind w:left="320" w:right="360" w:hanging="316"/>
        <w:spacing w:after="0" w:line="274" w:lineRule="auto"/>
        <w:tabs>
          <w:tab w:leader="none" w:pos="31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financial condition of, and our relationships with our suppliers, vendors, co-manufacturers, distributors, retailers and foodservice customers, and their future decisions regarding their relationships with us;</w:t>
      </w:r>
    </w:p>
    <w:p>
      <w:pPr>
        <w:spacing w:after="0" w:line="123" w:lineRule="exact"/>
        <w:rPr>
          <w:rFonts w:ascii="Arial" w:cs="Arial" w:eastAsia="Arial" w:hAnsi="Arial"/>
          <w:sz w:val="18"/>
          <w:szCs w:val="18"/>
          <w:color w:val="auto"/>
        </w:rPr>
      </w:pPr>
    </w:p>
    <w:p>
      <w:pPr>
        <w:jc w:val="both"/>
        <w:ind w:left="320" w:right="420" w:hanging="316"/>
        <w:spacing w:after="0" w:line="321" w:lineRule="auto"/>
        <w:tabs>
          <w:tab w:leader="none" w:pos="315"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ability and the ability of our suppliers, vendors and co-manufacturers to comply with food safety, environmental or other laws or regulations and the impact of any non-compliance on our operations, brand reputation and ability to fulfill orders in full and on time;</w:t>
      </w:r>
    </w:p>
    <w:p>
      <w:pPr>
        <w:spacing w:after="0" w:line="73" w:lineRule="exact"/>
        <w:rPr>
          <w:rFonts w:ascii="Arial" w:cs="Arial" w:eastAsia="Arial" w:hAnsi="Arial"/>
          <w:sz w:val="17"/>
          <w:szCs w:val="17"/>
          <w:color w:val="auto"/>
        </w:rPr>
      </w:pPr>
    </w:p>
    <w:p>
      <w:pPr>
        <w:ind w:left="320" w:hanging="316"/>
        <w:spacing w:after="0" w:line="290" w:lineRule="auto"/>
        <w:tabs>
          <w:tab w:leader="none" w:pos="315" w:val="left"/>
        </w:tabs>
        <w:numPr>
          <w:ilvl w:val="0"/>
          <w:numId w:val="7"/>
        </w:numPr>
        <w:rPr>
          <w:rFonts w:ascii="Arial" w:cs="Arial" w:eastAsia="Arial" w:hAnsi="Arial"/>
          <w:sz w:val="18"/>
          <w:szCs w:val="18"/>
          <w:color w:val="auto"/>
        </w:rPr>
      </w:pPr>
      <w:r>
        <w:rPr>
          <w:rFonts w:ascii="Arial" w:cs="Arial" w:eastAsia="Arial" w:hAnsi="Arial"/>
          <w:sz w:val="18"/>
          <w:szCs w:val="18"/>
          <w:color w:val="auto"/>
        </w:rPr>
        <w:t>seasonality, including increased levels of grilling activity and higher levels of purchasing by customers ahead of holidays, customer shelf reset activity and the timing of product restocking by our retail customers;</w:t>
      </w:r>
    </w:p>
    <w:p>
      <w:pPr>
        <w:spacing w:after="0" w:line="109" w:lineRule="exact"/>
        <w:rPr>
          <w:rFonts w:ascii="Arial" w:cs="Arial" w:eastAsia="Arial" w:hAnsi="Arial"/>
          <w:sz w:val="18"/>
          <w:szCs w:val="18"/>
          <w:color w:val="auto"/>
        </w:rPr>
      </w:pPr>
    </w:p>
    <w:p>
      <w:pPr>
        <w:ind w:left="320" w:right="40" w:hanging="316"/>
        <w:spacing w:after="0" w:line="274" w:lineRule="auto"/>
        <w:tabs>
          <w:tab w:leader="none" w:pos="31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increased scrutiny from a variety of stakeholders, institutional investors and governmental bodies on environmental, social and governance (“ESG”) practices;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169545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20"/>
          </w:cols>
          <w:pgMar w:left="640" w:top="1440" w:right="339" w:bottom="1440" w:gutter="0" w:footer="0" w:header="0"/>
        </w:sectPr>
      </w:pPr>
    </w:p>
    <w:bookmarkStart w:id="8" w:name="page9"/>
    <w:bookmarkEnd w:id="8"/>
    <w:p>
      <w:pPr>
        <w:spacing w:after="0" w:line="114" w:lineRule="exact"/>
        <w:rPr>
          <w:sz w:val="20"/>
          <w:szCs w:val="20"/>
          <w:color w:val="auto"/>
        </w:rPr>
      </w:pPr>
    </w:p>
    <w:p>
      <w:pPr>
        <w:ind w:left="640" w:right="660" w:hanging="316"/>
        <w:spacing w:after="0" w:line="290"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our suppliers’ and our co-manufacturers’ ability to protect our proprietary technology, intellectual property and trade secrets adequately;</w:t>
      </w:r>
    </w:p>
    <w:p>
      <w:pPr>
        <w:spacing w:after="0" w:line="96" w:lineRule="exact"/>
        <w:rPr>
          <w:rFonts w:ascii="Arial" w:cs="Arial" w:eastAsia="Arial" w:hAnsi="Arial"/>
          <w:sz w:val="18"/>
          <w:szCs w:val="18"/>
          <w:color w:val="auto"/>
        </w:rPr>
      </w:pPr>
    </w:p>
    <w:p>
      <w:pPr>
        <w:ind w:left="640" w:hanging="316"/>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changes in tax laws; and</w:t>
      </w:r>
    </w:p>
    <w:p>
      <w:pPr>
        <w:spacing w:after="0" w:line="177" w:lineRule="exact"/>
        <w:rPr>
          <w:rFonts w:ascii="Arial" w:cs="Arial" w:eastAsia="Arial" w:hAnsi="Arial"/>
          <w:sz w:val="18"/>
          <w:szCs w:val="18"/>
          <w:color w:val="auto"/>
        </w:rPr>
      </w:pPr>
    </w:p>
    <w:p>
      <w:pPr>
        <w:ind w:left="640" w:hanging="316"/>
        <w:spacing w:after="0" w:line="267"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risks discussed in Part I, Item 1A. Risk Factors, included in our Annual Report on Form 10-K for the fiscal year ended December 31, 2024 filed with the Securities and Exchange Commission (the “SEC”) on March 5, 2025 (the “2024 10-K”), and in Part II, </w:t>
      </w:r>
      <w:r>
        <w:rPr>
          <w:rFonts w:ascii="Arial" w:cs="Arial" w:eastAsia="Arial" w:hAnsi="Arial"/>
          <w:sz w:val="18"/>
          <w:szCs w:val="18"/>
          <w:u w:val="single" w:color="auto"/>
          <w:color w:val="0000FF"/>
        </w:rPr>
        <w:t>Item 1A</w:t>
      </w:r>
      <w:r>
        <w:rPr>
          <w:rFonts w:ascii="Arial" w:cs="Arial" w:eastAsia="Arial" w:hAnsi="Arial"/>
          <w:sz w:val="18"/>
          <w:szCs w:val="18"/>
          <w:color w:val="auto"/>
        </w:rPr>
        <w:t xml:space="preserve">.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r>
        <w:rPr>
          <w:rFonts w:ascii="Arial" w:cs="Arial" w:eastAsia="Arial" w:hAnsi="Arial"/>
          <w:sz w:val="18"/>
          <w:szCs w:val="18"/>
          <w:color w:val="auto"/>
        </w:rPr>
        <w:t>, included herein, and those discussed in other documents we file from time to time with the SEC.</w:t>
      </w:r>
    </w:p>
    <w:p>
      <w:pPr>
        <w:spacing w:after="0" w:line="144"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In some cases, you can identify forward-looking statements by terms such as “may,” “should,” “expects,” “might,” “plans,” “anticipates,”</w:t>
      </w:r>
    </w:p>
    <w:p>
      <w:pPr>
        <w:spacing w:after="0" w:line="25" w:lineRule="exact"/>
        <w:rPr>
          <w:sz w:val="20"/>
          <w:szCs w:val="20"/>
          <w:color w:val="auto"/>
        </w:rPr>
      </w:pPr>
    </w:p>
    <w:p>
      <w:pPr>
        <w:ind w:right="140"/>
        <w:spacing w:after="0" w:line="269" w:lineRule="auto"/>
        <w:rPr>
          <w:sz w:val="20"/>
          <w:szCs w:val="20"/>
          <w:color w:val="auto"/>
        </w:rPr>
      </w:pPr>
      <w:r>
        <w:rPr>
          <w:rFonts w:ascii="Arial" w:cs="Arial" w:eastAsia="Arial" w:hAnsi="Arial"/>
          <w:sz w:val="18"/>
          <w:szCs w:val="18"/>
          <w:color w:val="auto"/>
        </w:rPr>
        <w:t>“could,” “intends,” “target,” “commits,” “projects,” “contemplates,” “believes,” “estimates,” “predicts,” “potential,” “seek,” “would” or “continue,” or the negative of these terms or other similar expressions. We have based these forward-looking statements largely on our current expectations and projections about future events and financial trends that we believe may affect our business, financial condition and results of operations. Although we believe that the expectations reflected in the forward-looking statements are reasonable, we cannot guarantee that the future results, levels of activity, performance or events and circumstances reflected in the forward-looking statements will be achieved or occur.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w:t>
      </w:r>
    </w:p>
    <w:p>
      <w:pPr>
        <w:spacing w:after="0" w:line="131" w:lineRule="exact"/>
        <w:rPr>
          <w:sz w:val="20"/>
          <w:szCs w:val="20"/>
          <w:color w:val="auto"/>
        </w:rPr>
      </w:pPr>
    </w:p>
    <w:p>
      <w:pPr>
        <w:ind w:right="360" w:firstLine="318"/>
        <w:spacing w:after="0" w:line="283" w:lineRule="auto"/>
        <w:rPr>
          <w:sz w:val="20"/>
          <w:szCs w:val="20"/>
          <w:color w:val="auto"/>
        </w:rPr>
      </w:pPr>
      <w:r>
        <w:rPr>
          <w:rFonts w:ascii="Arial" w:cs="Arial" w:eastAsia="Arial" w:hAnsi="Arial"/>
          <w:sz w:val="18"/>
          <w:szCs w:val="18"/>
          <w:color w:val="auto"/>
        </w:rPr>
        <w:t>This report also contains estimates and other statistical data obtained from independent parties and by us relating to market size and growth and other data about our industry and ultimate consumers. This data involves a number of assumptions and limitations, and you are cautioned not to give undue weight to such estimates and data.</w:t>
      </w:r>
    </w:p>
    <w:p>
      <w:pPr>
        <w:spacing w:after="0" w:line="116" w:lineRule="exact"/>
        <w:rPr>
          <w:sz w:val="20"/>
          <w:szCs w:val="20"/>
          <w:color w:val="auto"/>
        </w:rPr>
      </w:pPr>
    </w:p>
    <w:p>
      <w:pPr>
        <w:ind w:right="60" w:firstLine="318"/>
        <w:spacing w:after="0" w:line="295" w:lineRule="auto"/>
        <w:rPr>
          <w:sz w:val="20"/>
          <w:szCs w:val="20"/>
          <w:color w:val="auto"/>
        </w:rPr>
      </w:pPr>
      <w:r>
        <w:rPr>
          <w:rFonts w:ascii="Arial" w:cs="Arial" w:eastAsia="Arial" w:hAnsi="Arial"/>
          <w:sz w:val="17"/>
          <w:szCs w:val="17"/>
          <w:color w:val="auto"/>
        </w:rPr>
        <w:t>All forward-looking statements attributable to us or persons acting on our behalf are expressly qualified in their entirety by the cautionary statements set forth above. Forward-looking statements speak only as of the date of this report. You should not put undue reliance on any forward-looking statements. We assume no obligation to publicly update or revise any forward-looking statements because of new information, future events, changes in assumptions or otherwise, except to the extent required by applicable laws. If we update one or more forward-looking statements, no inference should be drawn that we will make additional updates with respect to those or other forward-looking statements.</w:t>
      </w:r>
    </w:p>
    <w:p>
      <w:pPr>
        <w:spacing w:after="0" w:line="110" w:lineRule="exact"/>
        <w:rPr>
          <w:sz w:val="20"/>
          <w:szCs w:val="20"/>
          <w:color w:val="auto"/>
        </w:rPr>
      </w:pPr>
    </w:p>
    <w:p>
      <w:pPr>
        <w:ind w:right="60" w:firstLine="318"/>
        <w:spacing w:after="0" w:line="272" w:lineRule="auto"/>
        <w:rPr>
          <w:sz w:val="20"/>
          <w:szCs w:val="20"/>
          <w:color w:val="auto"/>
        </w:rPr>
      </w:pPr>
      <w:r>
        <w:rPr>
          <w:rFonts w:ascii="Arial" w:cs="Arial" w:eastAsia="Arial" w:hAnsi="Arial"/>
          <w:sz w:val="18"/>
          <w:szCs w:val="18"/>
          <w:color w:val="auto"/>
        </w:rPr>
        <w:t>Additionally, certain information we may disclose in this report or in other locations, such as on our website, is informed by the expectations of various stakeholders and third-party frameworks and, as such, may not necessarily be material for purposes of our filings under U.S. federal securities laws, even if we use the word “material” or similar language in discussing such matters. Particularly in the ESG context, for example, there are various approaches to materiality that differ from, and in many cases are more expansive than, the definition used in U.S. federal securities laws.</w:t>
      </w:r>
    </w:p>
    <w:p>
      <w:pPr>
        <w:spacing w:after="0" w:line="126" w:lineRule="exact"/>
        <w:rPr>
          <w:sz w:val="20"/>
          <w:szCs w:val="20"/>
          <w:color w:val="auto"/>
        </w:rPr>
      </w:pPr>
    </w:p>
    <w:p>
      <w:pPr>
        <w:ind w:right="320" w:firstLine="318"/>
        <w:spacing w:after="0" w:line="273" w:lineRule="auto"/>
        <w:rPr>
          <w:sz w:val="20"/>
          <w:szCs w:val="20"/>
          <w:color w:val="auto"/>
        </w:rPr>
      </w:pPr>
      <w:r>
        <w:rPr>
          <w:rFonts w:ascii="Arial" w:cs="Arial" w:eastAsia="Arial" w:hAnsi="Arial"/>
          <w:sz w:val="18"/>
          <w:szCs w:val="18"/>
          <w:color w:val="auto"/>
        </w:rPr>
        <w:t>“Beyond Meat,” “Beyond Burger,” “Beyond Beef,” “Beyond Sausage,” “Beyond Breakfast Sausage,” “Beyond Sun Sausage,” “Beyond Meatballs,” “Beyond Chicken,” “Beyond Chicken Pieces,” “Beyond Steak,” the Caped Steer Logo and “Eat What You Love” are registered or pending trademarks of Beyond Meat, Inc. in the United States and, in some cases, in certain other countries. All other brand names or trademarks appearing in this report are the property of their respective holders. Solely for convenience, the trademarks and trade names contained herein are referred to without the ® and ™ symbols, but such references should not be construed as any indicator that their respective owners will not assert, to the fullest extent under applicable law, their rights thereto.</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 w:name="page10"/>
    <w:bookmarkEnd w:id="9"/>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 Financial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I. FINANCIAL STATEMENTS</w:t>
      </w:r>
    </w:p>
    <w:p>
      <w:pPr>
        <w:spacing w:after="0" w:line="200" w:lineRule="exact"/>
        <w:rPr>
          <w:sz w:val="20"/>
          <w:szCs w:val="20"/>
          <w:color w:val="auto"/>
        </w:rPr>
      </w:pPr>
    </w:p>
    <w:p>
      <w:pPr>
        <w:spacing w:after="0" w:line="242"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BEYOND MEAT, INC. AND SUBSIDIARIES</w:t>
      </w:r>
    </w:p>
    <w:p>
      <w:pPr>
        <w:spacing w:after="0" w:line="36"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8"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(unaudited)</w:t>
      </w:r>
    </w:p>
    <w:p>
      <w:pPr>
        <w:spacing w:after="0" w:line="296" w:lineRule="exact"/>
        <w:rPr>
          <w:sz w:val="20"/>
          <w:szCs w:val="20"/>
          <w:color w:val="auto"/>
        </w:rPr>
      </w:pPr>
    </w:p>
    <w:tbl>
      <w:tblPr>
        <w:tblLayout w:type="fixed"/>
        <w:tblInd w:w="540" w:type="dxa"/>
        <w:tblCellMar>
          <w:top w:w="0" w:type="dxa"/>
          <w:left w:w="0" w:type="dxa"/>
          <w:bottom w:w="0" w:type="dxa"/>
          <w:right w:w="0" w:type="dxa"/>
        </w:tblCellMar>
      </w:tblPr>
      <w:tr>
        <w:trPr>
          <w:trHeight w:val="213"/>
        </w:trPr>
        <w:tc>
          <w:tcPr>
            <w:tcW w:w="7080" w:type="dxa"/>
            <w:vAlign w:val="bottom"/>
            <w:gridSpan w:val="3"/>
            <w:vMerge w:val="restart"/>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18"/>
                <w:szCs w:val="18"/>
                <w:color w:val="auto"/>
              </w:rPr>
            </w:pPr>
          </w:p>
        </w:tc>
        <w:tc>
          <w:tcPr>
            <w:tcW w:w="150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29, 2025</w:t>
            </w:r>
          </w:p>
        </w:tc>
        <w:tc>
          <w:tcPr>
            <w:tcW w:w="140" w:type="dxa"/>
            <w:vAlign w:val="bottom"/>
          </w:tcPr>
          <w:p>
            <w:pPr>
              <w:spacing w:after="0"/>
              <w:rPr>
                <w:sz w:val="18"/>
                <w:szCs w:val="18"/>
                <w:color w:val="auto"/>
              </w:rPr>
            </w:pPr>
          </w:p>
        </w:tc>
        <w:tc>
          <w:tcPr>
            <w:tcW w:w="1580" w:type="dxa"/>
            <w:vAlign w:val="bottom"/>
          </w:tcPr>
          <w:p>
            <w:pPr>
              <w:jc w:val="right"/>
              <w:ind w:right="52"/>
              <w:spacing w:after="0"/>
              <w:rPr>
                <w:sz w:val="20"/>
                <w:szCs w:val="20"/>
                <w:color w:val="auto"/>
              </w:rPr>
            </w:pPr>
            <w:r>
              <w:rPr>
                <w:rFonts w:ascii="Arial" w:cs="Arial" w:eastAsia="Arial" w:hAnsi="Arial"/>
                <w:sz w:val="16"/>
                <w:szCs w:val="16"/>
                <w:b w:val="1"/>
                <w:bCs w:val="1"/>
                <w:color w:val="auto"/>
                <w:w w:val="98"/>
              </w:rPr>
              <w:t>December 31, 2024</w:t>
            </w:r>
          </w:p>
        </w:tc>
        <w:tc>
          <w:tcPr>
            <w:tcW w:w="0" w:type="dxa"/>
            <w:vAlign w:val="bottom"/>
          </w:tcPr>
          <w:p>
            <w:pPr>
              <w:spacing w:after="0"/>
              <w:rPr>
                <w:sz w:val="1"/>
                <w:szCs w:val="1"/>
                <w:color w:val="auto"/>
              </w:rPr>
            </w:pPr>
          </w:p>
        </w:tc>
      </w:tr>
      <w:tr>
        <w:trPr>
          <w:trHeight w:val="205"/>
        </w:trPr>
        <w:tc>
          <w:tcPr>
            <w:tcW w:w="7080" w:type="dxa"/>
            <w:vAlign w:val="bottom"/>
            <w:gridSpan w:val="3"/>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080" w:type="dxa"/>
            <w:vAlign w:val="bottom"/>
            <w:gridSpan w:val="3"/>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102,143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131,913</w:t>
            </w:r>
          </w:p>
        </w:tc>
        <w:tc>
          <w:tcPr>
            <w:tcW w:w="0" w:type="dxa"/>
            <w:vAlign w:val="bottom"/>
          </w:tcPr>
          <w:p>
            <w:pPr>
              <w:spacing w:after="0"/>
              <w:rPr>
                <w:sz w:val="1"/>
                <w:szCs w:val="1"/>
                <w:color w:val="auto"/>
              </w:rPr>
            </w:pPr>
          </w:p>
        </w:tc>
      </w:tr>
      <w:tr>
        <w:trPr>
          <w:trHeight w:val="225"/>
        </w:trPr>
        <w:tc>
          <w:tcPr>
            <w:tcW w:w="70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Restricted cash, current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25"/>
        </w:trPr>
        <w:tc>
          <w:tcPr>
            <w:tcW w:w="7080" w:type="dxa"/>
            <w:vAlign w:val="bottom"/>
            <w:gridSpan w:val="3"/>
          </w:tcPr>
          <w:p>
            <w:pPr>
              <w:ind w:left="18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33,267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26,862</w:t>
            </w:r>
          </w:p>
        </w:tc>
        <w:tc>
          <w:tcPr>
            <w:tcW w:w="0" w:type="dxa"/>
            <w:vAlign w:val="bottom"/>
          </w:tcPr>
          <w:p>
            <w:pPr>
              <w:spacing w:after="0"/>
              <w:rPr>
                <w:sz w:val="1"/>
                <w:szCs w:val="1"/>
                <w:color w:val="auto"/>
              </w:rPr>
            </w:pPr>
          </w:p>
        </w:tc>
      </w:tr>
      <w:tr>
        <w:trPr>
          <w:trHeight w:val="225"/>
        </w:trPr>
        <w:tc>
          <w:tcPr>
            <w:tcW w:w="70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113,444</w:t>
            </w:r>
          </w:p>
        </w:tc>
        <w:tc>
          <w:tcPr>
            <w:tcW w:w="0" w:type="dxa"/>
            <w:vAlign w:val="bottom"/>
          </w:tcPr>
          <w:p>
            <w:pPr>
              <w:spacing w:after="0"/>
              <w:rPr>
                <w:sz w:val="1"/>
                <w:szCs w:val="1"/>
                <w:color w:val="auto"/>
              </w:rPr>
            </w:pPr>
          </w:p>
        </w:tc>
      </w:tr>
      <w:tr>
        <w:trPr>
          <w:trHeight w:val="225"/>
        </w:trPr>
        <w:tc>
          <w:tcPr>
            <w:tcW w:w="7080" w:type="dxa"/>
            <w:vAlign w:val="bottom"/>
            <w:gridSpan w:val="3"/>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19,135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11,332</w:t>
            </w:r>
          </w:p>
        </w:tc>
        <w:tc>
          <w:tcPr>
            <w:tcW w:w="0" w:type="dxa"/>
            <w:vAlign w:val="bottom"/>
          </w:tcPr>
          <w:p>
            <w:pPr>
              <w:spacing w:after="0"/>
              <w:rPr>
                <w:sz w:val="1"/>
                <w:szCs w:val="1"/>
                <w:color w:val="auto"/>
              </w:rPr>
            </w:pPr>
          </w:p>
        </w:tc>
      </w:tr>
      <w:tr>
        <w:trPr>
          <w:trHeight w:val="225"/>
        </w:trPr>
        <w:tc>
          <w:tcPr>
            <w:tcW w:w="70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Assets held for sale</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w:t>
            </w:r>
          </w:p>
        </w:tc>
        <w:tc>
          <w:tcPr>
            <w:tcW w:w="0" w:type="dxa"/>
            <w:vAlign w:val="bottom"/>
          </w:tcPr>
          <w:p>
            <w:pPr>
              <w:spacing w:after="0"/>
              <w:rPr>
                <w:sz w:val="1"/>
                <w:szCs w:val="1"/>
                <w:color w:val="auto"/>
              </w:rPr>
            </w:pPr>
          </w:p>
        </w:tc>
      </w:tr>
      <w:tr>
        <w:trPr>
          <w:trHeight w:val="218"/>
        </w:trPr>
        <w:tc>
          <w:tcPr>
            <w:tcW w:w="7080" w:type="dxa"/>
            <w:vAlign w:val="bottom"/>
            <w:tcBorders>
              <w:bottom w:val="single" w:sz="8" w:color="CCEEFF"/>
            </w:tcBorders>
            <w:gridSpan w:val="3"/>
          </w:tcPr>
          <w:p>
            <w:pPr>
              <w:ind w:left="30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257,272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286,456</w:t>
            </w:r>
          </w:p>
        </w:tc>
        <w:tc>
          <w:tcPr>
            <w:tcW w:w="0" w:type="dxa"/>
            <w:vAlign w:val="bottom"/>
          </w:tcPr>
          <w:p>
            <w:pPr>
              <w:spacing w:after="0"/>
              <w:rPr>
                <w:sz w:val="1"/>
                <w:szCs w:val="1"/>
                <w:color w:val="auto"/>
              </w:rPr>
            </w:pPr>
          </w:p>
        </w:tc>
      </w:tr>
      <w:tr>
        <w:trPr>
          <w:trHeight w:val="218"/>
        </w:trPr>
        <w:tc>
          <w:tcPr>
            <w:tcW w:w="7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Restricted cash, non-current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12,600</w:t>
            </w:r>
          </w:p>
        </w:tc>
        <w:tc>
          <w:tcPr>
            <w:tcW w:w="0" w:type="dxa"/>
            <w:vAlign w:val="bottom"/>
          </w:tcPr>
          <w:p>
            <w:pPr>
              <w:spacing w:after="0"/>
              <w:rPr>
                <w:sz w:val="1"/>
                <w:szCs w:val="1"/>
                <w:color w:val="auto"/>
              </w:rPr>
            </w:pPr>
          </w:p>
        </w:tc>
      </w:tr>
      <w:tr>
        <w:trPr>
          <w:trHeight w:val="225"/>
        </w:trPr>
        <w:tc>
          <w:tcPr>
            <w:tcW w:w="7080" w:type="dxa"/>
            <w:vAlign w:val="bottom"/>
            <w:gridSpan w:val="3"/>
          </w:tcPr>
          <w:p>
            <w:pPr>
              <w:ind w:left="2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180,781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184,887</w:t>
            </w:r>
          </w:p>
        </w:tc>
        <w:tc>
          <w:tcPr>
            <w:tcW w:w="0" w:type="dxa"/>
            <w:vAlign w:val="bottom"/>
          </w:tcPr>
          <w:p>
            <w:pPr>
              <w:spacing w:after="0"/>
              <w:rPr>
                <w:sz w:val="1"/>
                <w:szCs w:val="1"/>
                <w:color w:val="auto"/>
              </w:rPr>
            </w:pPr>
          </w:p>
        </w:tc>
      </w:tr>
      <w:tr>
        <w:trPr>
          <w:trHeight w:val="225"/>
        </w:trPr>
        <w:tc>
          <w:tcPr>
            <w:tcW w:w="7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123,975</w:t>
            </w:r>
          </w:p>
        </w:tc>
        <w:tc>
          <w:tcPr>
            <w:tcW w:w="0" w:type="dxa"/>
            <w:vAlign w:val="bottom"/>
          </w:tcPr>
          <w:p>
            <w:pPr>
              <w:spacing w:after="0"/>
              <w:rPr>
                <w:sz w:val="1"/>
                <w:szCs w:val="1"/>
                <w:color w:val="auto"/>
              </w:rPr>
            </w:pPr>
          </w:p>
        </w:tc>
      </w:tr>
      <w:tr>
        <w:trPr>
          <w:trHeight w:val="225"/>
        </w:trPr>
        <w:tc>
          <w:tcPr>
            <w:tcW w:w="7080" w:type="dxa"/>
            <w:vAlign w:val="bottom"/>
            <w:gridSpan w:val="3"/>
          </w:tcPr>
          <w:p>
            <w:pPr>
              <w:ind w:left="20"/>
              <w:spacing w:after="0"/>
              <w:rPr>
                <w:sz w:val="20"/>
                <w:szCs w:val="20"/>
                <w:color w:val="auto"/>
              </w:rPr>
            </w:pPr>
            <w:r>
              <w:rPr>
                <w:rFonts w:ascii="Arial" w:cs="Arial" w:eastAsia="Arial" w:hAnsi="Arial"/>
                <w:sz w:val="18"/>
                <w:szCs w:val="18"/>
                <w:color w:val="auto"/>
              </w:rPr>
              <w:t>Prepaid lease costs, non-current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69,814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68,005</w:t>
            </w:r>
          </w:p>
        </w:tc>
        <w:tc>
          <w:tcPr>
            <w:tcW w:w="0" w:type="dxa"/>
            <w:vAlign w:val="bottom"/>
          </w:tcPr>
          <w:p>
            <w:pPr>
              <w:spacing w:after="0"/>
              <w:rPr>
                <w:sz w:val="1"/>
                <w:szCs w:val="1"/>
                <w:color w:val="auto"/>
              </w:rPr>
            </w:pPr>
          </w:p>
        </w:tc>
      </w:tr>
      <w:tr>
        <w:trPr>
          <w:trHeight w:val="225"/>
        </w:trPr>
        <w:tc>
          <w:tcPr>
            <w:tcW w:w="7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non-current assets, net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25"/>
        </w:trPr>
        <w:tc>
          <w:tcPr>
            <w:tcW w:w="70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Investment in unconsolidated joint venture</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w:t>
            </w: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gridSpan w:val="3"/>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643,830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678,146</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8"/>
                <w:szCs w:val="18"/>
                <w:color w:val="auto"/>
              </w:rPr>
              <w:t>Liabilities and stockholders’ deficit: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70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7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080" w:type="dxa"/>
            <w:vAlign w:val="bottom"/>
            <w:gridSpan w:val="3"/>
          </w:tcPr>
          <w:p>
            <w:pPr>
              <w:ind w:left="18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50,512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37,571</w:t>
            </w:r>
          </w:p>
        </w:tc>
        <w:tc>
          <w:tcPr>
            <w:tcW w:w="0" w:type="dxa"/>
            <w:vAlign w:val="bottom"/>
          </w:tcPr>
          <w:p>
            <w:pPr>
              <w:spacing w:after="0"/>
              <w:rPr>
                <w:sz w:val="1"/>
                <w:szCs w:val="1"/>
                <w:color w:val="auto"/>
              </w:rPr>
            </w:pPr>
          </w:p>
        </w:tc>
      </w:tr>
      <w:tr>
        <w:trPr>
          <w:trHeight w:val="225"/>
        </w:trPr>
        <w:tc>
          <w:tcPr>
            <w:tcW w:w="70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Current portion of operating lease liabilities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w:t>
            </w:r>
          </w:p>
        </w:tc>
        <w:tc>
          <w:tcPr>
            <w:tcW w:w="0" w:type="dxa"/>
            <w:vAlign w:val="bottom"/>
          </w:tcPr>
          <w:p>
            <w:pPr>
              <w:spacing w:after="0"/>
              <w:rPr>
                <w:sz w:val="1"/>
                <w:szCs w:val="1"/>
                <w:color w:val="auto"/>
              </w:rPr>
            </w:pPr>
          </w:p>
        </w:tc>
      </w:tr>
      <w:tr>
        <w:trPr>
          <w:trHeight w:val="225"/>
        </w:trPr>
        <w:tc>
          <w:tcPr>
            <w:tcW w:w="7080" w:type="dxa"/>
            <w:vAlign w:val="bottom"/>
            <w:gridSpan w:val="3"/>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14,199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12,507</w:t>
            </w:r>
          </w:p>
        </w:tc>
        <w:tc>
          <w:tcPr>
            <w:tcW w:w="0" w:type="dxa"/>
            <w:vAlign w:val="bottom"/>
          </w:tcPr>
          <w:p>
            <w:pPr>
              <w:spacing w:after="0"/>
              <w:rPr>
                <w:sz w:val="1"/>
                <w:szCs w:val="1"/>
                <w:color w:val="auto"/>
              </w:rPr>
            </w:pPr>
          </w:p>
        </w:tc>
      </w:tr>
      <w:tr>
        <w:trPr>
          <w:trHeight w:val="225"/>
        </w:trPr>
        <w:tc>
          <w:tcPr>
            <w:tcW w:w="70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Accrued litigation settlement</w:t>
            </w: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7,250</w:t>
            </w:r>
          </w:p>
        </w:tc>
        <w:tc>
          <w:tcPr>
            <w:tcW w:w="0" w:type="dxa"/>
            <w:vAlign w:val="bottom"/>
          </w:tcPr>
          <w:p>
            <w:pPr>
              <w:spacing w:after="0"/>
              <w:rPr>
                <w:sz w:val="1"/>
                <w:szCs w:val="1"/>
                <w:color w:val="auto"/>
              </w:rPr>
            </w:pPr>
          </w:p>
        </w:tc>
      </w:tr>
      <w:tr>
        <w:trPr>
          <w:trHeight w:val="219"/>
        </w:trPr>
        <w:tc>
          <w:tcPr>
            <w:tcW w:w="708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75,902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61,453</w:t>
            </w:r>
          </w:p>
        </w:tc>
        <w:tc>
          <w:tcPr>
            <w:tcW w:w="0" w:type="dxa"/>
            <w:vAlign w:val="bottom"/>
          </w:tcPr>
          <w:p>
            <w:pPr>
              <w:spacing w:after="0"/>
              <w:rPr>
                <w:sz w:val="1"/>
                <w:szCs w:val="1"/>
                <w:color w:val="auto"/>
              </w:rPr>
            </w:pPr>
          </w:p>
        </w:tc>
      </w:tr>
      <w:tr>
        <w:trPr>
          <w:trHeight w:val="205"/>
        </w:trPr>
        <w:tc>
          <w:tcPr>
            <w:tcW w:w="7080" w:type="dxa"/>
            <w:vAlign w:val="bottom"/>
            <w:gridSpan w:val="3"/>
            <w:shd w:val="clear" w:color="auto" w:fill="CCEEFF"/>
          </w:tcPr>
          <w:p>
            <w:pPr>
              <w:ind w:left="20"/>
              <w:spacing w:after="0" w:line="205" w:lineRule="exact"/>
              <w:rPr>
                <w:sz w:val="20"/>
                <w:szCs w:val="20"/>
                <w:color w:val="auto"/>
              </w:rPr>
            </w:pPr>
            <w:r>
              <w:rPr>
                <w:rFonts w:ascii="Arial" w:cs="Arial" w:eastAsia="Arial" w:hAnsi="Arial"/>
                <w:sz w:val="18"/>
                <w:szCs w:val="18"/>
                <w:color w:val="auto"/>
              </w:rPr>
              <w:t>Long-term liabilities:</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080" w:type="dxa"/>
            <w:vAlign w:val="bottom"/>
            <w:gridSpan w:val="3"/>
          </w:tcPr>
          <w:p>
            <w:pPr>
              <w:ind w:left="180"/>
              <w:spacing w:after="0"/>
              <w:rPr>
                <w:sz w:val="20"/>
                <w:szCs w:val="20"/>
                <w:color w:val="auto"/>
              </w:rPr>
            </w:pPr>
            <w:r>
              <w:rPr>
                <w:rFonts w:ascii="Arial" w:cs="Arial" w:eastAsia="Arial" w:hAnsi="Arial"/>
                <w:sz w:val="18"/>
                <w:szCs w:val="18"/>
                <w:color w:val="auto"/>
              </w:rPr>
              <w:t>Convertible senior notes, net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1,142,459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1,141,476</w:t>
            </w:r>
          </w:p>
        </w:tc>
        <w:tc>
          <w:tcPr>
            <w:tcW w:w="0" w:type="dxa"/>
            <w:vAlign w:val="bottom"/>
          </w:tcPr>
          <w:p>
            <w:pPr>
              <w:spacing w:after="0"/>
              <w:rPr>
                <w:sz w:val="1"/>
                <w:szCs w:val="1"/>
                <w:color w:val="auto"/>
              </w:rPr>
            </w:pPr>
          </w:p>
        </w:tc>
      </w:tr>
      <w:tr>
        <w:trPr>
          <w:trHeight w:val="225"/>
        </w:trPr>
        <w:tc>
          <w:tcPr>
            <w:tcW w:w="70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Operating lease liabilities, net of current portion</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73,613</w:t>
            </w:r>
          </w:p>
        </w:tc>
        <w:tc>
          <w:tcPr>
            <w:tcW w:w="0" w:type="dxa"/>
            <w:vAlign w:val="bottom"/>
          </w:tcPr>
          <w:p>
            <w:pPr>
              <w:spacing w:after="0"/>
              <w:rPr>
                <w:sz w:val="1"/>
                <w:szCs w:val="1"/>
                <w:color w:val="auto"/>
              </w:rPr>
            </w:pPr>
          </w:p>
        </w:tc>
      </w:tr>
      <w:tr>
        <w:trPr>
          <w:trHeight w:val="225"/>
        </w:trPr>
        <w:tc>
          <w:tcPr>
            <w:tcW w:w="7080" w:type="dxa"/>
            <w:vAlign w:val="bottom"/>
            <w:tcBorders>
              <w:bottom w:val="single" w:sz="8" w:color="CCEEFF"/>
            </w:tcBorders>
            <w:gridSpan w:val="3"/>
          </w:tcPr>
          <w:p>
            <w:pPr>
              <w:ind w:left="180"/>
              <w:spacing w:after="0"/>
              <w:rPr>
                <w:sz w:val="20"/>
                <w:szCs w:val="20"/>
                <w:color w:val="auto"/>
              </w:rPr>
            </w:pPr>
            <w:r>
              <w:rPr>
                <w:rFonts w:ascii="Arial" w:cs="Arial" w:eastAsia="Arial" w:hAnsi="Arial"/>
                <w:sz w:val="18"/>
                <w:szCs w:val="18"/>
                <w:color w:val="auto"/>
              </w:rPr>
              <w:t>Finance lease obligations and other long term liabilities</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2,812</w:t>
            </w:r>
          </w:p>
        </w:tc>
        <w:tc>
          <w:tcPr>
            <w:tcW w:w="0" w:type="dxa"/>
            <w:vAlign w:val="bottom"/>
          </w:tcPr>
          <w:p>
            <w:pPr>
              <w:spacing w:after="0"/>
              <w:rPr>
                <w:sz w:val="1"/>
                <w:szCs w:val="1"/>
                <w:color w:val="auto"/>
              </w:rPr>
            </w:pPr>
          </w:p>
        </w:tc>
      </w:tr>
      <w:tr>
        <w:trPr>
          <w:trHeight w:val="218"/>
        </w:trPr>
        <w:tc>
          <w:tcPr>
            <w:tcW w:w="70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long-term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1,217,459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1,217,901</w:t>
            </w:r>
          </w:p>
        </w:tc>
        <w:tc>
          <w:tcPr>
            <w:tcW w:w="0" w:type="dxa"/>
            <w:vAlign w:val="bottom"/>
          </w:tcPr>
          <w:p>
            <w:pPr>
              <w:spacing w:after="0"/>
              <w:rPr>
                <w:sz w:val="1"/>
                <w:szCs w:val="1"/>
                <w:color w:val="auto"/>
              </w:rPr>
            </w:pPr>
          </w:p>
        </w:tc>
      </w:tr>
      <w:tr>
        <w:trPr>
          <w:trHeight w:val="186"/>
        </w:trPr>
        <w:tc>
          <w:tcPr>
            <w:tcW w:w="7080" w:type="dxa"/>
            <w:vAlign w:val="bottom"/>
            <w:gridSpan w:val="3"/>
          </w:tcPr>
          <w:p>
            <w:pPr>
              <w:ind w:left="20"/>
              <w:spacing w:after="0" w:line="186" w:lineRule="exact"/>
              <w:rPr>
                <w:sz w:val="20"/>
                <w:szCs w:val="20"/>
                <w:color w:val="auto"/>
              </w:rPr>
            </w:pPr>
            <w:r>
              <w:rPr>
                <w:rFonts w:ascii="Arial" w:cs="Arial" w:eastAsia="Arial" w:hAnsi="Arial"/>
                <w:sz w:val="18"/>
                <w:szCs w:val="18"/>
                <w:color w:val="auto"/>
              </w:rPr>
              <w:t>Commitments and contingencies (</w:t>
            </w:r>
            <w:r>
              <w:rPr>
                <w:rFonts w:ascii="Arial" w:cs="Arial" w:eastAsia="Arial" w:hAnsi="Arial"/>
                <w:sz w:val="18"/>
                <w:szCs w:val="18"/>
                <w:color w:val="0000FF"/>
              </w:rPr>
              <w:t>Note 9</w:t>
            </w: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20"/>
          </w:cols>
          <w:pgMar w:left="320" w:top="1440" w:right="559" w:bottom="1440" w:gutter="0" w:footer="0" w:header="0"/>
        </w:sectPr>
      </w:pPr>
    </w:p>
    <w:bookmarkStart w:id="10" w:name="page11"/>
    <w:bookmarkEnd w:id="10"/>
    <w:p>
      <w:pPr>
        <w:spacing w:after="0" w:line="152"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BEYOND MEAT, INC. AND SUBSIDIARIES</w:t>
      </w:r>
    </w:p>
    <w:p>
      <w:pPr>
        <w:spacing w:after="0" w:line="36"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29, 2025</w:t>
            </w:r>
          </w:p>
        </w:tc>
        <w:tc>
          <w:tcPr>
            <w:tcW w:w="140" w:type="dxa"/>
            <w:vAlign w:val="bottom"/>
          </w:tcPr>
          <w:p>
            <w:pPr>
              <w:spacing w:after="0"/>
              <w:rPr>
                <w:sz w:val="18"/>
                <w:szCs w:val="18"/>
                <w:color w:val="auto"/>
              </w:rPr>
            </w:pPr>
          </w:p>
        </w:tc>
        <w:tc>
          <w:tcPr>
            <w:tcW w:w="1580" w:type="dxa"/>
            <w:vAlign w:val="bottom"/>
          </w:tcPr>
          <w:p>
            <w:pPr>
              <w:jc w:val="right"/>
              <w:ind w:right="53"/>
              <w:spacing w:after="0"/>
              <w:rPr>
                <w:sz w:val="20"/>
                <w:szCs w:val="20"/>
                <w:color w:val="auto"/>
              </w:rPr>
            </w:pPr>
            <w:r>
              <w:rPr>
                <w:rFonts w:ascii="Arial" w:cs="Arial" w:eastAsia="Arial" w:hAnsi="Arial"/>
                <w:sz w:val="16"/>
                <w:szCs w:val="16"/>
                <w:b w:val="1"/>
                <w:bCs w:val="1"/>
                <w:color w:val="auto"/>
                <w:w w:val="98"/>
              </w:rPr>
              <w:t>December 31, 2024</w:t>
            </w:r>
          </w:p>
        </w:tc>
        <w:tc>
          <w:tcPr>
            <w:tcW w:w="0" w:type="dxa"/>
            <w:vAlign w:val="bottom"/>
          </w:tcPr>
          <w:p>
            <w:pPr>
              <w:spacing w:after="0"/>
              <w:rPr>
                <w:sz w:val="1"/>
                <w:szCs w:val="1"/>
                <w:color w:val="auto"/>
              </w:rPr>
            </w:pPr>
          </w:p>
        </w:tc>
      </w:tr>
      <w:tr>
        <w:trPr>
          <w:trHeight w:val="205"/>
        </w:trPr>
        <w:tc>
          <w:tcPr>
            <w:tcW w:w="708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Stockholders’ deficit:</w:t>
            </w:r>
          </w:p>
        </w:tc>
        <w:tc>
          <w:tcPr>
            <w:tcW w:w="18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7080" w:type="dxa"/>
            <w:vAlign w:val="bottom"/>
          </w:tcPr>
          <w:p>
            <w:pPr>
              <w:ind w:left="20"/>
              <w:spacing w:after="0" w:line="172" w:lineRule="exact"/>
              <w:rPr>
                <w:sz w:val="20"/>
                <w:szCs w:val="20"/>
                <w:color w:val="auto"/>
              </w:rPr>
            </w:pPr>
            <w:r>
              <w:rPr>
                <w:rFonts w:ascii="Arial" w:cs="Arial" w:eastAsia="Arial" w:hAnsi="Arial"/>
                <w:sz w:val="18"/>
                <w:szCs w:val="18"/>
                <w:color w:val="auto"/>
              </w:rPr>
              <w:t>Preferred stock, par value $0.0001 per share—500,000 shares authorized, none issued</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7080" w:type="dxa"/>
            <w:vAlign w:val="bottom"/>
          </w:tcPr>
          <w:p>
            <w:pPr>
              <w:ind w:left="180"/>
              <w:spacing w:after="0"/>
              <w:rPr>
                <w:sz w:val="20"/>
                <w:szCs w:val="20"/>
                <w:color w:val="auto"/>
              </w:rPr>
            </w:pPr>
            <w:r>
              <w:rPr>
                <w:rFonts w:ascii="Arial" w:cs="Arial" w:eastAsia="Arial" w:hAnsi="Arial"/>
                <w:sz w:val="18"/>
                <w:szCs w:val="18"/>
                <w:color w:val="auto"/>
              </w:rPr>
              <w:t>and outstanding</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2"/>
        </w:trPr>
        <w:tc>
          <w:tcPr>
            <w:tcW w:w="708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rPr>
              <w:t>Common stock, par value $0.0001 per share—500,000,000 shares authorized;</w:t>
            </w:r>
          </w:p>
        </w:tc>
        <w:tc>
          <w:tcPr>
            <w:tcW w:w="18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0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8"/>
              </w:rPr>
              <w:t>76,408,877 shares and 76,065,969 shares issued and outstanding at March 29, 2025 and</w:t>
            </w: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2024, respectively</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5"/>
        </w:trPr>
        <w:tc>
          <w:tcPr>
            <w:tcW w:w="708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649,637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644,004</w:t>
            </w:r>
          </w:p>
        </w:tc>
        <w:tc>
          <w:tcPr>
            <w:tcW w:w="0" w:type="dxa"/>
            <w:vAlign w:val="bottom"/>
          </w:tcPr>
          <w:p>
            <w:pPr>
              <w:spacing w:after="0"/>
              <w:rPr>
                <w:sz w:val="1"/>
                <w:szCs w:val="1"/>
                <w:color w:val="auto"/>
              </w:rPr>
            </w:pPr>
          </w:p>
        </w:tc>
      </w:tr>
      <w:tr>
        <w:trPr>
          <w:trHeight w:val="225"/>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(1,294,447)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(1,241,531)</w:t>
            </w:r>
          </w:p>
        </w:tc>
        <w:tc>
          <w:tcPr>
            <w:tcW w:w="0" w:type="dxa"/>
            <w:vAlign w:val="bottom"/>
          </w:tcPr>
          <w:p>
            <w:pPr>
              <w:spacing w:after="0"/>
              <w:rPr>
                <w:sz w:val="1"/>
                <w:szCs w:val="1"/>
                <w:color w:val="auto"/>
              </w:rPr>
            </w:pPr>
          </w:p>
        </w:tc>
      </w:tr>
      <w:tr>
        <w:trPr>
          <w:trHeight w:val="225"/>
        </w:trPr>
        <w:tc>
          <w:tcPr>
            <w:tcW w:w="7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(3,689)</w:t>
            </w:r>
          </w:p>
        </w:tc>
        <w:tc>
          <w:tcPr>
            <w:tcW w:w="0" w:type="dxa"/>
            <w:vAlign w:val="bottom"/>
          </w:tcPr>
          <w:p>
            <w:pPr>
              <w:spacing w:after="0"/>
              <w:rPr>
                <w:sz w:val="1"/>
                <w:szCs w:val="1"/>
                <w:color w:val="auto"/>
              </w:rPr>
            </w:pPr>
          </w:p>
        </w:tc>
      </w:tr>
      <w:tr>
        <w:trPr>
          <w:trHeight w:val="218"/>
        </w:trPr>
        <w:tc>
          <w:tcPr>
            <w:tcW w:w="7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stockholders’ deficit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(649,531)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(601,208)</w:t>
            </w:r>
          </w:p>
        </w:tc>
        <w:tc>
          <w:tcPr>
            <w:tcW w:w="0" w:type="dxa"/>
            <w:vAlign w:val="bottom"/>
          </w:tcPr>
          <w:p>
            <w:pPr>
              <w:spacing w:after="0"/>
              <w:rPr>
                <w:sz w:val="1"/>
                <w:szCs w:val="1"/>
                <w:color w:val="auto"/>
              </w:rPr>
            </w:pPr>
          </w:p>
        </w:tc>
      </w:tr>
      <w:tr>
        <w:trPr>
          <w:trHeight w:val="218"/>
        </w:trPr>
        <w:tc>
          <w:tcPr>
            <w:tcW w:w="7080" w:type="dxa"/>
            <w:vAlign w:val="bottom"/>
          </w:tcPr>
          <w:p>
            <w:pPr>
              <w:ind w:left="500"/>
              <w:spacing w:after="0"/>
              <w:rPr>
                <w:sz w:val="20"/>
                <w:szCs w:val="20"/>
                <w:color w:val="auto"/>
              </w:rPr>
            </w:pPr>
            <w:r>
              <w:rPr>
                <w:rFonts w:ascii="Arial" w:cs="Arial" w:eastAsia="Arial" w:hAnsi="Arial"/>
                <w:sz w:val="18"/>
                <w:szCs w:val="18"/>
                <w:color w:val="auto"/>
              </w:rPr>
              <w:t>Total liabilities and stockholders’ deficit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643,830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678,146</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4780"/>
              <w:spacing w:after="0"/>
              <w:rPr>
                <w:sz w:val="20"/>
                <w:szCs w:val="20"/>
                <w:color w:val="auto"/>
              </w:rPr>
            </w:pPr>
            <w:r>
              <w:rPr>
                <w:rFonts w:ascii="Arial" w:cs="Arial" w:eastAsia="Arial" w:hAnsi="Arial"/>
                <w:sz w:val="18"/>
                <w:szCs w:val="18"/>
                <w:color w:val="auto"/>
              </w:rPr>
              <w:t>(concluded)</w:t>
            </w: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0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4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169545</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480"/>
          </w:cols>
          <w:pgMar w:left="860" w:top="1440" w:right="559" w:bottom="1440" w:gutter="0" w:footer="0" w:header="0"/>
        </w:sectPr>
      </w:pPr>
    </w:p>
    <w:bookmarkStart w:id="11" w:name="page12"/>
    <w:bookmarkEnd w:id="11"/>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6"/>
                <w:szCs w:val="16"/>
                <w:b w:val="1"/>
                <w:bCs w:val="1"/>
                <w:color w:val="auto"/>
              </w:rPr>
              <w:t>Three Months Ended</w:t>
            </w:r>
          </w:p>
        </w:tc>
      </w:tr>
      <w:tr>
        <w:trPr>
          <w:trHeight w:val="205"/>
        </w:trPr>
        <w:tc>
          <w:tcPr>
            <w:tcW w:w="75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93"/>
              <w:spacing w:after="0"/>
              <w:rPr>
                <w:sz w:val="20"/>
                <w:szCs w:val="20"/>
                <w:color w:val="auto"/>
              </w:rPr>
            </w:pPr>
            <w:r>
              <w:rPr>
                <w:rFonts w:ascii="Arial" w:cs="Arial" w:eastAsia="Arial" w:hAnsi="Arial"/>
                <w:sz w:val="16"/>
                <w:szCs w:val="16"/>
                <w:b w:val="1"/>
                <w:bCs w:val="1"/>
                <w:color w:val="auto"/>
              </w:rPr>
              <w:t>March 29, 2025</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2"/>
              <w:spacing w:after="0"/>
              <w:rPr>
                <w:sz w:val="20"/>
                <w:szCs w:val="20"/>
                <w:color w:val="auto"/>
              </w:rPr>
            </w:pPr>
            <w:r>
              <w:rPr>
                <w:rFonts w:ascii="Arial" w:cs="Arial" w:eastAsia="Arial" w:hAnsi="Arial"/>
                <w:sz w:val="16"/>
                <w:szCs w:val="16"/>
                <w:b w:val="1"/>
                <w:bCs w:val="1"/>
                <w:color w:val="auto"/>
              </w:rPr>
              <w:t>March 30, 2024</w:t>
            </w:r>
          </w:p>
        </w:tc>
      </w:tr>
      <w:tr>
        <w:trPr>
          <w:trHeight w:val="21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68,731</w:t>
            </w:r>
          </w:p>
        </w:tc>
        <w:tc>
          <w:tcPr>
            <w:tcW w:w="120" w:type="dxa"/>
            <w:vAlign w:val="bottom"/>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75,603</w:t>
            </w:r>
          </w:p>
        </w:tc>
      </w:tr>
      <w:tr>
        <w:trPr>
          <w:trHeight w:val="225"/>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69,796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71,935</w:t>
            </w:r>
          </w:p>
        </w:tc>
      </w:tr>
      <w:tr>
        <w:trPr>
          <w:trHeight w:val="21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3,668</w:t>
            </w:r>
          </w:p>
        </w:tc>
      </w:tr>
      <w:tr>
        <w:trPr>
          <w:trHeight w:val="218"/>
        </w:trPr>
        <w:tc>
          <w:tcPr>
            <w:tcW w:w="756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9,860</w:t>
            </w:r>
          </w:p>
        </w:tc>
      </w:tr>
      <w:tr>
        <w:trPr>
          <w:trHeight w:val="225"/>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47,672</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47,282</w:t>
            </w:r>
          </w:p>
        </w:tc>
      </w:tr>
      <w:tr>
        <w:trPr>
          <w:trHeight w:val="219"/>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55,134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57,142</w:t>
            </w:r>
          </w:p>
        </w:tc>
      </w:tr>
      <w:tr>
        <w:trPr>
          <w:trHeight w:val="218"/>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(56,199)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(53,474)</w:t>
            </w:r>
          </w:p>
        </w:tc>
      </w:tr>
      <w:tr>
        <w:trPr>
          <w:trHeight w:val="205"/>
        </w:trPr>
        <w:tc>
          <w:tcPr>
            <w:tcW w:w="7560" w:type="dxa"/>
            <w:vAlign w:val="bottom"/>
          </w:tcPr>
          <w:p>
            <w:pPr>
              <w:ind w:left="20"/>
              <w:spacing w:after="0" w:line="205" w:lineRule="exact"/>
              <w:rPr>
                <w:sz w:val="20"/>
                <w:szCs w:val="20"/>
                <w:color w:val="auto"/>
              </w:rPr>
            </w:pPr>
            <w:r>
              <w:rPr>
                <w:rFonts w:ascii="Arial" w:cs="Arial" w:eastAsia="Arial" w:hAnsi="Arial"/>
                <w:sz w:val="18"/>
                <w:szCs w:val="18"/>
                <w:color w:val="auto"/>
              </w:rPr>
              <w:t>Other income (expense), net:</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25"/>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r>
      <w:tr>
        <w:trPr>
          <w:trHeight w:val="225"/>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r>
      <w:tr>
        <w:trPr>
          <w:trHeight w:val="218"/>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income (expense), net</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w:t>
            </w:r>
          </w:p>
        </w:tc>
      </w:tr>
      <w:tr>
        <w:trPr>
          <w:trHeight w:val="219"/>
        </w:trPr>
        <w:tc>
          <w:tcPr>
            <w:tcW w:w="7560" w:type="dxa"/>
            <w:vAlign w:val="bottom"/>
          </w:tcPr>
          <w:p>
            <w:pPr>
              <w:ind w:left="20"/>
              <w:spacing w:after="0"/>
              <w:rPr>
                <w:sz w:val="20"/>
                <w:szCs w:val="20"/>
                <w:color w:val="auto"/>
              </w:rPr>
            </w:pPr>
            <w:r>
              <w:rPr>
                <w:rFonts w:ascii="Arial" w:cs="Arial" w:eastAsia="Arial" w:hAnsi="Arial"/>
                <w:sz w:val="18"/>
                <w:szCs w:val="18"/>
                <w:color w:val="auto"/>
              </w:rPr>
              <w:t>Loss before taxes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(52,905)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(54,366)</w:t>
            </w:r>
          </w:p>
        </w:tc>
      </w:tr>
      <w:tr>
        <w:trPr>
          <w:trHeight w:val="225"/>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5"/>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in losses (income) of unconsolidated joint venture</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(52,916)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(54,361)</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r>
        <w:trPr>
          <w:trHeight w:val="198"/>
        </w:trPr>
        <w:tc>
          <w:tcPr>
            <w:tcW w:w="7560" w:type="dxa"/>
            <w:vAlign w:val="bottom"/>
          </w:tcPr>
          <w:p>
            <w:pPr>
              <w:ind w:left="20"/>
              <w:spacing w:after="0" w:line="198" w:lineRule="exact"/>
              <w:rPr>
                <w:sz w:val="20"/>
                <w:szCs w:val="20"/>
                <w:color w:val="auto"/>
              </w:rPr>
            </w:pPr>
            <w:r>
              <w:rPr>
                <w:rFonts w:ascii="Arial" w:cs="Arial" w:eastAsia="Arial" w:hAnsi="Arial"/>
                <w:sz w:val="18"/>
                <w:szCs w:val="18"/>
                <w:color w:val="auto"/>
              </w:rPr>
              <w:t>Net loss per share available to common stockholders—basic and diluted</w:t>
            </w:r>
          </w:p>
        </w:tc>
        <w:tc>
          <w:tcPr>
            <w:tcW w:w="160" w:type="dxa"/>
            <w:vAlign w:val="bottom"/>
            <w:tcBorders>
              <w:top w:val="single" w:sz="8" w:color="auto"/>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(0.69)</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(0.84)</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8"/>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outstanding—basic and diluted</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76,194,916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64,702,249</w:t>
            </w:r>
          </w:p>
        </w:tc>
      </w:tr>
    </w:tbl>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169545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600"/>
          </w:cols>
          <w:pgMar w:left="640" w:top="1440" w:right="659" w:bottom="1440" w:gutter="0" w:footer="0" w:header="0"/>
        </w:sectPr>
      </w:pPr>
    </w:p>
    <w:bookmarkStart w:id="12" w:name="page13"/>
    <w:bookmarkEnd w:id="12"/>
    <w:p>
      <w:pPr>
        <w:spacing w:after="0" w:line="11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5" w:lineRule="exact"/>
        <w:rPr>
          <w:sz w:val="20"/>
          <w:szCs w:val="20"/>
          <w:color w:val="auto"/>
        </w:rPr>
      </w:pPr>
    </w:p>
    <w:p>
      <w:pPr>
        <w:jc w:val="right"/>
        <w:ind w:right="4340"/>
        <w:spacing w:after="0"/>
        <w:rPr>
          <w:sz w:val="20"/>
          <w:szCs w:val="20"/>
          <w:color w:val="auto"/>
        </w:rPr>
      </w:pPr>
      <w:r>
        <w:rPr>
          <w:rFonts w:ascii="Arial" w:cs="Arial" w:eastAsia="Arial" w:hAnsi="Arial"/>
          <w:sz w:val="18"/>
          <w:szCs w:val="18"/>
          <w:b w:val="1"/>
          <w:bCs w:val="1"/>
          <w:color w:val="auto"/>
        </w:rPr>
        <w:t>(In thousands)</w:t>
      </w:r>
    </w:p>
    <w:p>
      <w:pPr>
        <w:spacing w:after="0" w:line="5" w:lineRule="exact"/>
        <w:rPr>
          <w:sz w:val="20"/>
          <w:szCs w:val="20"/>
          <w:color w:val="auto"/>
        </w:rPr>
      </w:pPr>
    </w:p>
    <w:p>
      <w:pPr>
        <w:jc w:val="right"/>
        <w:ind w:right="4320"/>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8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6"/>
                <w:szCs w:val="16"/>
                <w:b w:val="1"/>
                <w:bCs w:val="1"/>
                <w:color w:val="auto"/>
              </w:rPr>
              <w:t>Three Months Ended</w:t>
            </w:r>
          </w:p>
        </w:tc>
      </w:tr>
      <w:tr>
        <w:trPr>
          <w:trHeight w:val="205"/>
        </w:trPr>
        <w:tc>
          <w:tcPr>
            <w:tcW w:w="6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ind w:left="20"/>
              <w:spacing w:after="0"/>
              <w:rPr>
                <w:sz w:val="20"/>
                <w:szCs w:val="20"/>
                <w:color w:val="auto"/>
              </w:rPr>
            </w:pPr>
            <w:r>
              <w:rPr>
                <w:rFonts w:ascii="Arial" w:cs="Arial" w:eastAsia="Arial" w:hAnsi="Arial"/>
                <w:sz w:val="16"/>
                <w:szCs w:val="16"/>
                <w:b w:val="1"/>
                <w:bCs w:val="1"/>
                <w:color w:val="auto"/>
              </w:rPr>
              <w:t>March 29, 2025</w:t>
            </w:r>
          </w:p>
        </w:tc>
        <w:tc>
          <w:tcPr>
            <w:tcW w:w="140" w:type="dxa"/>
            <w:vAlign w:val="bottom"/>
          </w:tcPr>
          <w:p>
            <w:pPr>
              <w:spacing w:after="0"/>
              <w:rPr>
                <w:sz w:val="17"/>
                <w:szCs w:val="17"/>
                <w:color w:val="auto"/>
              </w:rPr>
            </w:pPr>
          </w:p>
        </w:tc>
        <w:tc>
          <w:tcPr>
            <w:tcW w:w="1380" w:type="dxa"/>
            <w:vAlign w:val="bottom"/>
          </w:tcPr>
          <w:p>
            <w:pPr>
              <w:jc w:val="right"/>
              <w:ind w:right="114"/>
              <w:spacing w:after="0"/>
              <w:rPr>
                <w:sz w:val="20"/>
                <w:szCs w:val="20"/>
                <w:color w:val="auto"/>
              </w:rPr>
            </w:pPr>
            <w:r>
              <w:rPr>
                <w:rFonts w:ascii="Arial" w:cs="Arial" w:eastAsia="Arial" w:hAnsi="Arial"/>
                <w:sz w:val="16"/>
                <w:szCs w:val="16"/>
                <w:b w:val="1"/>
                <w:bCs w:val="1"/>
                <w:color w:val="auto"/>
              </w:rPr>
              <w:t>March 30, 2024</w:t>
            </w:r>
          </w:p>
        </w:tc>
      </w:tr>
      <w:tr>
        <w:trPr>
          <w:trHeight w:val="218"/>
        </w:trPr>
        <w:tc>
          <w:tcPr>
            <w:tcW w:w="6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(52,916)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(54,361)</w:t>
            </w:r>
          </w:p>
        </w:tc>
      </w:tr>
      <w:tr>
        <w:trPr>
          <w:trHeight w:val="199"/>
        </w:trPr>
        <w:tc>
          <w:tcPr>
            <w:tcW w:w="6800" w:type="dxa"/>
            <w:vAlign w:val="bottom"/>
          </w:tcPr>
          <w:p>
            <w:pPr>
              <w:ind w:left="20"/>
              <w:spacing w:after="0" w:line="199" w:lineRule="exact"/>
              <w:rPr>
                <w:sz w:val="20"/>
                <w:szCs w:val="20"/>
                <w:color w:val="auto"/>
              </w:rPr>
            </w:pPr>
            <w:r>
              <w:rPr>
                <w:rFonts w:ascii="Arial" w:cs="Arial" w:eastAsia="Arial" w:hAnsi="Arial"/>
                <w:sz w:val="18"/>
                <w:szCs w:val="18"/>
                <w:color w:val="auto"/>
              </w:rPr>
              <w:t>Other comprehensive loss, net of tax:</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25"/>
        </w:trPr>
        <w:tc>
          <w:tcPr>
            <w:tcW w:w="6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translation (losses) gains, net of tax</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w:t>
            </w:r>
          </w:p>
        </w:tc>
      </w:tr>
      <w:tr>
        <w:trPr>
          <w:trHeight w:val="219"/>
        </w:trPr>
        <w:tc>
          <w:tcPr>
            <w:tcW w:w="6800" w:type="dxa"/>
            <w:vAlign w:val="bottom"/>
          </w:tcPr>
          <w:p>
            <w:pPr>
              <w:ind w:left="20"/>
              <w:spacing w:after="0"/>
              <w:rPr>
                <w:sz w:val="20"/>
                <w:szCs w:val="20"/>
                <w:color w:val="auto"/>
              </w:rPr>
            </w:pPr>
            <w:r>
              <w:rPr>
                <w:rFonts w:ascii="Arial" w:cs="Arial" w:eastAsia="Arial" w:hAnsi="Arial"/>
                <w:sz w:val="18"/>
                <w:szCs w:val="18"/>
                <w:color w:val="auto"/>
              </w:rPr>
              <w:t>Comprehensive loss, net of tax</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(53,956)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(53,688)</w:t>
            </w:r>
          </w:p>
        </w:tc>
      </w:tr>
      <w:tr>
        <w:trPr>
          <w:trHeight w:val="20"/>
        </w:trPr>
        <w:tc>
          <w:tcPr>
            <w:tcW w:w="6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169545</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9900"/>
          </w:cols>
          <w:pgMar w:left="1000" w:top="1440" w:right="999" w:bottom="1440" w:gutter="0" w:footer="0" w:header="0"/>
        </w:sectPr>
      </w:pPr>
    </w:p>
    <w:bookmarkStart w:id="13" w:name="page14"/>
    <w:bookmarkEnd w:id="13"/>
    <w:p>
      <w:pPr>
        <w:spacing w:after="0" w:line="112"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(In thousands, except share data)</w:t>
      </w:r>
    </w:p>
    <w:p>
      <w:pPr>
        <w:spacing w:after="0" w:line="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340" w:type="dxa"/>
            <w:vAlign w:val="bottom"/>
          </w:tcPr>
          <w:p>
            <w:pPr>
              <w:spacing w:after="0"/>
              <w:rPr>
                <w:sz w:val="18"/>
                <w:szCs w:val="18"/>
                <w:color w:val="auto"/>
              </w:rPr>
            </w:pPr>
          </w:p>
        </w:tc>
        <w:tc>
          <w:tcPr>
            <w:tcW w:w="2520" w:type="dxa"/>
            <w:vAlign w:val="bottom"/>
            <w:gridSpan w:val="5"/>
          </w:tcPr>
          <w:p>
            <w:pPr>
              <w:ind w:left="620"/>
              <w:spacing w:after="0"/>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18"/>
                <w:szCs w:val="18"/>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9"/>
              </w:rPr>
              <w:t>Additional</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40" w:type="dxa"/>
            <w:vAlign w:val="bottom"/>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9"/>
              </w:rPr>
              <w:t>Accumulated</w:t>
            </w:r>
          </w:p>
        </w:tc>
        <w:tc>
          <w:tcPr>
            <w:tcW w:w="140" w:type="dxa"/>
            <w:vAlign w:val="bottom"/>
          </w:tcPr>
          <w:p>
            <w:pPr>
              <w:spacing w:after="0"/>
              <w:rPr>
                <w:sz w:val="2"/>
                <w:szCs w:val="2"/>
                <w:color w:val="auto"/>
              </w:rPr>
            </w:pPr>
          </w:p>
        </w:tc>
        <w:tc>
          <w:tcPr>
            <w:tcW w:w="18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rPr>
              <w:t>Accumulated Other</w:t>
            </w: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2340" w:type="dxa"/>
            <w:vAlign w:val="bottom"/>
          </w:tcPr>
          <w:p>
            <w:pPr>
              <w:spacing w:after="0"/>
              <w:rPr>
                <w:sz w:val="13"/>
                <w:szCs w:val="13"/>
                <w:color w:val="auto"/>
              </w:rPr>
            </w:pPr>
          </w:p>
        </w:tc>
        <w:tc>
          <w:tcPr>
            <w:tcW w:w="1420" w:type="dxa"/>
            <w:vAlign w:val="bottom"/>
            <w:gridSpan w:val="2"/>
            <w:vMerge w:val="restart"/>
          </w:tcPr>
          <w:p>
            <w:pPr>
              <w:ind w:left="36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3"/>
                <w:szCs w:val="13"/>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3"/>
                <w:szCs w:val="13"/>
                <w:color w:val="auto"/>
              </w:rPr>
            </w:pPr>
          </w:p>
        </w:tc>
        <w:tc>
          <w:tcPr>
            <w:tcW w:w="1080" w:type="dxa"/>
            <w:vAlign w:val="bottom"/>
            <w:gridSpan w:val="2"/>
          </w:tcPr>
          <w:p>
            <w:pPr>
              <w:jc w:val="center"/>
              <w:ind w:right="240"/>
              <w:spacing w:after="0" w:line="159" w:lineRule="exact"/>
              <w:rPr>
                <w:sz w:val="20"/>
                <w:szCs w:val="20"/>
                <w:color w:val="auto"/>
              </w:rPr>
            </w:pPr>
            <w:r>
              <w:rPr>
                <w:rFonts w:ascii="Arial" w:cs="Arial" w:eastAsia="Arial" w:hAnsi="Arial"/>
                <w:sz w:val="16"/>
                <w:szCs w:val="16"/>
                <w:b w:val="1"/>
                <w:bCs w:val="1"/>
                <w:color w:val="auto"/>
                <w:w w:val="97"/>
              </w:rPr>
              <w:t>Paid-in</w:t>
            </w:r>
          </w:p>
        </w:tc>
        <w:tc>
          <w:tcPr>
            <w:tcW w:w="16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vMerge w:val="restart"/>
          </w:tcPr>
          <w:p>
            <w:pPr>
              <w:jc w:val="right"/>
              <w:ind w:right="37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2"/>
        </w:trPr>
        <w:tc>
          <w:tcPr>
            <w:tcW w:w="23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1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Deficit</w:t>
            </w:r>
          </w:p>
        </w:tc>
        <w:tc>
          <w:tcPr>
            <w:tcW w:w="140" w:type="dxa"/>
            <w:vAlign w:val="bottom"/>
          </w:tcPr>
          <w:p>
            <w:pPr>
              <w:spacing w:after="0"/>
              <w:rPr>
                <w:sz w:val="18"/>
                <w:szCs w:val="18"/>
                <w:color w:val="auto"/>
              </w:rPr>
            </w:pPr>
          </w:p>
        </w:tc>
        <w:tc>
          <w:tcPr>
            <w:tcW w:w="18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Comprehensive Loss</w:t>
            </w:r>
          </w:p>
        </w:tc>
        <w:tc>
          <w:tcPr>
            <w:tcW w:w="34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2340" w:type="dxa"/>
            <w:vAlign w:val="bottom"/>
            <w:tcBorders>
              <w:top w:val="single" w:sz="8" w:color="CCEEFF"/>
            </w:tcBorders>
            <w:shd w:val="clear" w:color="auto" w:fill="CCEEFF"/>
          </w:tcPr>
          <w:p>
            <w:pPr>
              <w:ind w:left="20"/>
              <w:spacing w:after="0" w:line="152" w:lineRule="exact"/>
              <w:rPr>
                <w:sz w:val="20"/>
                <w:szCs w:val="20"/>
                <w:color w:val="auto"/>
              </w:rPr>
            </w:pPr>
            <w:r>
              <w:rPr>
                <w:rFonts w:ascii="Arial" w:cs="Arial" w:eastAsia="Arial" w:hAnsi="Arial"/>
                <w:sz w:val="17"/>
                <w:szCs w:val="17"/>
                <w:b w:val="1"/>
                <w:bCs w:val="1"/>
                <w:color w:val="auto"/>
              </w:rPr>
              <w:t>Balance at December 31,</w:t>
            </w:r>
          </w:p>
        </w:tc>
        <w:tc>
          <w:tcPr>
            <w:tcW w:w="12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7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64,624,140</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573,128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(1,081,253)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(5,249)</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(513,368</w:t>
            </w:r>
          </w:p>
        </w:tc>
        <w:tc>
          <w:tcPr>
            <w:tcW w:w="0" w:type="dxa"/>
            <w:vAlign w:val="bottom"/>
          </w:tcPr>
          <w:p>
            <w:pPr>
              <w:spacing w:after="0"/>
              <w:rPr>
                <w:sz w:val="1"/>
                <w:szCs w:val="1"/>
                <w:color w:val="auto"/>
              </w:rPr>
            </w:pPr>
          </w:p>
        </w:tc>
      </w:tr>
      <w:tr>
        <w:trPr>
          <w:trHeight w:val="225"/>
        </w:trPr>
        <w:tc>
          <w:tcPr>
            <w:tcW w:w="23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(54,361)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(54,361</w:t>
            </w:r>
          </w:p>
        </w:tc>
        <w:tc>
          <w:tcPr>
            <w:tcW w:w="0" w:type="dxa"/>
            <w:vAlign w:val="bottom"/>
          </w:tcPr>
          <w:p>
            <w:pPr>
              <w:spacing w:after="0"/>
              <w:rPr>
                <w:sz w:val="1"/>
                <w:szCs w:val="1"/>
                <w:color w:val="auto"/>
              </w:rPr>
            </w:pPr>
          </w:p>
        </w:tc>
      </w:tr>
      <w:tr>
        <w:trPr>
          <w:trHeight w:val="172"/>
        </w:trPr>
        <w:tc>
          <w:tcPr>
            <w:tcW w:w="234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rPr>
              <w:t>Issuance of common stock</w:t>
            </w:r>
          </w:p>
        </w:tc>
        <w:tc>
          <w:tcPr>
            <w:tcW w:w="1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340" w:type="dxa"/>
            <w:vAlign w:val="bottom"/>
            <w:shd w:val="clear" w:color="auto" w:fill="CCEEFF"/>
          </w:tcPr>
          <w:p>
            <w:pPr>
              <w:ind w:left="180"/>
              <w:spacing w:after="0" w:line="182" w:lineRule="exact"/>
              <w:rPr>
                <w:sz w:val="20"/>
                <w:szCs w:val="20"/>
                <w:color w:val="auto"/>
              </w:rPr>
            </w:pPr>
            <w:r>
              <w:rPr>
                <w:rFonts w:ascii="Arial" w:cs="Arial" w:eastAsia="Arial" w:hAnsi="Arial"/>
                <w:sz w:val="18"/>
                <w:szCs w:val="18"/>
                <w:color w:val="auto"/>
              </w:rPr>
              <w:t>under equity incentive</w:t>
            </w:r>
          </w:p>
        </w:tc>
        <w:tc>
          <w:tcPr>
            <w:tcW w:w="1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plans, net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228,702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172"/>
        </w:trPr>
        <w:tc>
          <w:tcPr>
            <w:tcW w:w="2340" w:type="dxa"/>
            <w:vAlign w:val="bottom"/>
          </w:tcPr>
          <w:p>
            <w:pPr>
              <w:ind w:left="20"/>
              <w:spacing w:after="0" w:line="172" w:lineRule="exact"/>
              <w:rPr>
                <w:sz w:val="20"/>
                <w:szCs w:val="20"/>
                <w:color w:val="auto"/>
              </w:rPr>
            </w:pPr>
            <w:r>
              <w:rPr>
                <w:rFonts w:ascii="Arial" w:cs="Arial" w:eastAsia="Arial" w:hAnsi="Arial"/>
                <w:sz w:val="18"/>
                <w:szCs w:val="18"/>
                <w:color w:val="auto"/>
              </w:rPr>
              <w:t>Share-based compensation</w:t>
            </w: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340" w:type="dxa"/>
            <w:vAlign w:val="bottom"/>
          </w:tcPr>
          <w:p>
            <w:pPr>
              <w:ind w:left="180"/>
              <w:spacing w:after="0"/>
              <w:rPr>
                <w:sz w:val="20"/>
                <w:szCs w:val="20"/>
                <w:color w:val="auto"/>
              </w:rPr>
            </w:pPr>
            <w:r>
              <w:rPr>
                <w:rFonts w:ascii="Arial" w:cs="Arial" w:eastAsia="Arial" w:hAnsi="Arial"/>
                <w:sz w:val="18"/>
                <w:szCs w:val="18"/>
                <w:color w:val="auto"/>
                <w:w w:val="99"/>
              </w:rPr>
              <w:t>for equity classified awards</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6,075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172"/>
        </w:trPr>
        <w:tc>
          <w:tcPr>
            <w:tcW w:w="234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rPr>
              <w:t>Foreign currency translation</w:t>
            </w:r>
          </w:p>
        </w:tc>
        <w:tc>
          <w:tcPr>
            <w:tcW w:w="1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8"/>
        </w:trPr>
        <w:tc>
          <w:tcPr>
            <w:tcW w:w="2340" w:type="dxa"/>
            <w:vAlign w:val="bottom"/>
          </w:tcPr>
          <w:p>
            <w:pPr>
              <w:ind w:left="20"/>
              <w:spacing w:after="0"/>
              <w:rPr>
                <w:sz w:val="20"/>
                <w:szCs w:val="20"/>
                <w:color w:val="auto"/>
              </w:rPr>
            </w:pPr>
            <w:r>
              <w:rPr>
                <w:rFonts w:ascii="Arial" w:cs="Arial" w:eastAsia="Arial" w:hAnsi="Arial"/>
                <w:sz w:val="18"/>
                <w:szCs w:val="18"/>
                <w:b w:val="1"/>
                <w:bCs w:val="1"/>
                <w:color w:val="auto"/>
              </w:rPr>
              <w:t>Balance at March 30, 2024</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64,852,842</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578,773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(1,135,614)</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(4,576)</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(561,411</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340" w:type="dxa"/>
            <w:vAlign w:val="bottom"/>
          </w:tcPr>
          <w:p>
            <w:pPr>
              <w:spacing w:after="0"/>
              <w:rPr>
                <w:sz w:val="18"/>
                <w:szCs w:val="18"/>
                <w:color w:val="auto"/>
              </w:rPr>
            </w:pPr>
          </w:p>
        </w:tc>
        <w:tc>
          <w:tcPr>
            <w:tcW w:w="2520" w:type="dxa"/>
            <w:vAlign w:val="bottom"/>
            <w:gridSpan w:val="5"/>
          </w:tcPr>
          <w:p>
            <w:pPr>
              <w:ind w:left="620"/>
              <w:spacing w:after="0"/>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18"/>
                <w:szCs w:val="18"/>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9"/>
              </w:rPr>
              <w:t>Additional</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40" w:type="dxa"/>
            <w:vAlign w:val="bottom"/>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9"/>
              </w:rPr>
              <w:t>Accumulated</w:t>
            </w:r>
          </w:p>
        </w:tc>
        <w:tc>
          <w:tcPr>
            <w:tcW w:w="160" w:type="dxa"/>
            <w:vAlign w:val="bottom"/>
          </w:tcPr>
          <w:p>
            <w:pPr>
              <w:spacing w:after="0"/>
              <w:rPr>
                <w:sz w:val="2"/>
                <w:szCs w:val="2"/>
                <w:color w:val="auto"/>
              </w:rPr>
            </w:pPr>
          </w:p>
        </w:tc>
        <w:tc>
          <w:tcPr>
            <w:tcW w:w="17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rPr>
              <w:t>Accumulated Other</w:t>
            </w: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9"/>
        </w:trPr>
        <w:tc>
          <w:tcPr>
            <w:tcW w:w="2340" w:type="dxa"/>
            <w:vAlign w:val="bottom"/>
          </w:tcPr>
          <w:p>
            <w:pPr>
              <w:spacing w:after="0"/>
              <w:rPr>
                <w:sz w:val="13"/>
                <w:szCs w:val="13"/>
                <w:color w:val="auto"/>
              </w:rPr>
            </w:pPr>
          </w:p>
        </w:tc>
        <w:tc>
          <w:tcPr>
            <w:tcW w:w="1420" w:type="dxa"/>
            <w:vAlign w:val="bottom"/>
            <w:gridSpan w:val="2"/>
            <w:vMerge w:val="restart"/>
          </w:tcPr>
          <w:p>
            <w:pPr>
              <w:ind w:left="36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3"/>
                <w:szCs w:val="13"/>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3"/>
                <w:szCs w:val="13"/>
                <w:color w:val="auto"/>
              </w:rPr>
            </w:pPr>
          </w:p>
        </w:tc>
        <w:tc>
          <w:tcPr>
            <w:tcW w:w="1080" w:type="dxa"/>
            <w:vAlign w:val="bottom"/>
            <w:gridSpan w:val="2"/>
          </w:tcPr>
          <w:p>
            <w:pPr>
              <w:jc w:val="center"/>
              <w:ind w:right="240"/>
              <w:spacing w:after="0" w:line="159" w:lineRule="exact"/>
              <w:rPr>
                <w:sz w:val="20"/>
                <w:szCs w:val="20"/>
                <w:color w:val="auto"/>
              </w:rPr>
            </w:pPr>
            <w:r>
              <w:rPr>
                <w:rFonts w:ascii="Arial" w:cs="Arial" w:eastAsia="Arial" w:hAnsi="Arial"/>
                <w:sz w:val="16"/>
                <w:szCs w:val="16"/>
                <w:b w:val="1"/>
                <w:bCs w:val="1"/>
                <w:color w:val="auto"/>
                <w:w w:val="97"/>
              </w:rPr>
              <w:t>Paid-in</w:t>
            </w:r>
          </w:p>
        </w:tc>
        <w:tc>
          <w:tcPr>
            <w:tcW w:w="16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78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vMerge w:val="restart"/>
          </w:tcPr>
          <w:p>
            <w:pPr>
              <w:jc w:val="right"/>
              <w:ind w:right="453"/>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2"/>
        </w:trPr>
        <w:tc>
          <w:tcPr>
            <w:tcW w:w="23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Capital</w:t>
            </w:r>
          </w:p>
        </w:tc>
        <w:tc>
          <w:tcPr>
            <w:tcW w:w="1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Deficit</w:t>
            </w:r>
          </w:p>
        </w:tc>
        <w:tc>
          <w:tcPr>
            <w:tcW w:w="19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8"/>
              </w:rPr>
              <w:t>Comprehensive Loss</w:t>
            </w:r>
          </w:p>
        </w:tc>
        <w:tc>
          <w:tcPr>
            <w:tcW w:w="3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2"/>
        </w:trPr>
        <w:tc>
          <w:tcPr>
            <w:tcW w:w="2340" w:type="dxa"/>
            <w:vAlign w:val="bottom"/>
            <w:tcBorders>
              <w:top w:val="single" w:sz="8" w:color="CCEEFF"/>
            </w:tcBorders>
            <w:shd w:val="clear" w:color="auto" w:fill="CCEEFF"/>
          </w:tcPr>
          <w:p>
            <w:pPr>
              <w:ind w:left="20"/>
              <w:spacing w:after="0" w:line="152" w:lineRule="exact"/>
              <w:rPr>
                <w:sz w:val="20"/>
                <w:szCs w:val="20"/>
                <w:color w:val="auto"/>
              </w:rPr>
            </w:pPr>
            <w:r>
              <w:rPr>
                <w:rFonts w:ascii="Arial" w:cs="Arial" w:eastAsia="Arial" w:hAnsi="Arial"/>
                <w:sz w:val="17"/>
                <w:szCs w:val="17"/>
                <w:b w:val="1"/>
                <w:bCs w:val="1"/>
                <w:color w:val="auto"/>
              </w:rPr>
              <w:t>Balance at December 31,</w:t>
            </w:r>
          </w:p>
        </w:tc>
        <w:tc>
          <w:tcPr>
            <w:tcW w:w="12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6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76,065,969</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644,004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(1,241,531)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(3,689)</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(601,208)</w:t>
            </w:r>
          </w:p>
        </w:tc>
        <w:tc>
          <w:tcPr>
            <w:tcW w:w="0" w:type="dxa"/>
            <w:vAlign w:val="bottom"/>
          </w:tcPr>
          <w:p>
            <w:pPr>
              <w:spacing w:after="0"/>
              <w:rPr>
                <w:sz w:val="1"/>
                <w:szCs w:val="1"/>
                <w:color w:val="auto"/>
              </w:rPr>
            </w:pPr>
          </w:p>
        </w:tc>
      </w:tr>
      <w:tr>
        <w:trPr>
          <w:trHeight w:val="225"/>
        </w:trPr>
        <w:tc>
          <w:tcPr>
            <w:tcW w:w="2340" w:type="dxa"/>
            <w:vAlign w:val="bottom"/>
          </w:tcPr>
          <w:p>
            <w:pPr>
              <w:ind w:left="20"/>
              <w:spacing w:after="0"/>
              <w:rPr>
                <w:sz w:val="20"/>
                <w:szCs w:val="20"/>
                <w:color w:val="auto"/>
              </w:rPr>
            </w:pPr>
            <w:r>
              <w:rPr>
                <w:rFonts w:ascii="Arial" w:cs="Arial" w:eastAsia="Arial" w:hAnsi="Arial"/>
                <w:sz w:val="18"/>
                <w:szCs w:val="18"/>
                <w:color w:val="auto"/>
              </w:rPr>
              <w:t>Net loss</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(52,916)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(52,916)</w:t>
            </w:r>
          </w:p>
        </w:tc>
        <w:tc>
          <w:tcPr>
            <w:tcW w:w="0" w:type="dxa"/>
            <w:vAlign w:val="bottom"/>
          </w:tcPr>
          <w:p>
            <w:pPr>
              <w:spacing w:after="0"/>
              <w:rPr>
                <w:sz w:val="1"/>
                <w:szCs w:val="1"/>
                <w:color w:val="auto"/>
              </w:rPr>
            </w:pPr>
          </w:p>
        </w:tc>
      </w:tr>
      <w:tr>
        <w:trPr>
          <w:trHeight w:val="172"/>
        </w:trPr>
        <w:tc>
          <w:tcPr>
            <w:tcW w:w="234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rPr>
              <w:t>Issuance of common stock</w:t>
            </w:r>
          </w:p>
        </w:tc>
        <w:tc>
          <w:tcPr>
            <w:tcW w:w="1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340" w:type="dxa"/>
            <w:vAlign w:val="bottom"/>
            <w:shd w:val="clear" w:color="auto" w:fill="CCEEFF"/>
          </w:tcPr>
          <w:p>
            <w:pPr>
              <w:ind w:left="180"/>
              <w:spacing w:after="0" w:line="182" w:lineRule="exact"/>
              <w:rPr>
                <w:sz w:val="20"/>
                <w:szCs w:val="20"/>
                <w:color w:val="auto"/>
              </w:rPr>
            </w:pPr>
            <w:r>
              <w:rPr>
                <w:rFonts w:ascii="Arial" w:cs="Arial" w:eastAsia="Arial" w:hAnsi="Arial"/>
                <w:sz w:val="18"/>
                <w:szCs w:val="18"/>
                <w:color w:val="auto"/>
              </w:rPr>
              <w:t>under equity incentive</w:t>
            </w:r>
          </w:p>
        </w:tc>
        <w:tc>
          <w:tcPr>
            <w:tcW w:w="1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plans, net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342,908</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172"/>
        </w:trPr>
        <w:tc>
          <w:tcPr>
            <w:tcW w:w="2340" w:type="dxa"/>
            <w:vAlign w:val="bottom"/>
          </w:tcPr>
          <w:p>
            <w:pPr>
              <w:ind w:left="20"/>
              <w:spacing w:after="0" w:line="172" w:lineRule="exact"/>
              <w:rPr>
                <w:sz w:val="20"/>
                <w:szCs w:val="20"/>
                <w:color w:val="auto"/>
              </w:rPr>
            </w:pPr>
            <w:r>
              <w:rPr>
                <w:rFonts w:ascii="Arial" w:cs="Arial" w:eastAsia="Arial" w:hAnsi="Arial"/>
                <w:sz w:val="18"/>
                <w:szCs w:val="18"/>
                <w:color w:val="auto"/>
              </w:rPr>
              <w:t>Share-based compensation</w:t>
            </w: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340" w:type="dxa"/>
            <w:vAlign w:val="bottom"/>
          </w:tcPr>
          <w:p>
            <w:pPr>
              <w:ind w:left="180"/>
              <w:spacing w:after="0"/>
              <w:rPr>
                <w:sz w:val="20"/>
                <w:szCs w:val="20"/>
                <w:color w:val="auto"/>
              </w:rPr>
            </w:pPr>
            <w:r>
              <w:rPr>
                <w:rFonts w:ascii="Arial" w:cs="Arial" w:eastAsia="Arial" w:hAnsi="Arial"/>
                <w:sz w:val="18"/>
                <w:szCs w:val="18"/>
                <w:color w:val="auto"/>
                <w:w w:val="99"/>
              </w:rPr>
              <w:t>for equity classified awards</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5,853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78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5,853</w:t>
            </w:r>
          </w:p>
        </w:tc>
        <w:tc>
          <w:tcPr>
            <w:tcW w:w="0" w:type="dxa"/>
            <w:vAlign w:val="bottom"/>
          </w:tcPr>
          <w:p>
            <w:pPr>
              <w:spacing w:after="0"/>
              <w:rPr>
                <w:sz w:val="1"/>
                <w:szCs w:val="1"/>
                <w:color w:val="auto"/>
              </w:rPr>
            </w:pPr>
          </w:p>
        </w:tc>
      </w:tr>
      <w:tr>
        <w:trPr>
          <w:trHeight w:val="172"/>
        </w:trPr>
        <w:tc>
          <w:tcPr>
            <w:tcW w:w="234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rPr>
              <w:t>Foreign currency translation</w:t>
            </w:r>
          </w:p>
        </w:tc>
        <w:tc>
          <w:tcPr>
            <w:tcW w:w="1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2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18"/>
        </w:trPr>
        <w:tc>
          <w:tcPr>
            <w:tcW w:w="2340" w:type="dxa"/>
            <w:vAlign w:val="bottom"/>
          </w:tcPr>
          <w:p>
            <w:pPr>
              <w:ind w:left="20"/>
              <w:spacing w:after="0"/>
              <w:rPr>
                <w:sz w:val="20"/>
                <w:szCs w:val="20"/>
                <w:color w:val="auto"/>
              </w:rPr>
            </w:pPr>
            <w:r>
              <w:rPr>
                <w:rFonts w:ascii="Arial" w:cs="Arial" w:eastAsia="Arial" w:hAnsi="Arial"/>
                <w:sz w:val="18"/>
                <w:szCs w:val="18"/>
                <w:b w:val="1"/>
                <w:bCs w:val="1"/>
                <w:color w:val="auto"/>
              </w:rPr>
              <w:t>Balance at March 29, 2025</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76,408,877</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649,637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(1,294,447)</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(4,729)</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(649,531)</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169545</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20"/>
          </w:cols>
          <w:pgMar w:left="640" w:top="1440" w:right="239" w:bottom="1440" w:gutter="0" w:footer="0" w:header="0"/>
        </w:sectPr>
      </w:pPr>
    </w:p>
    <w:bookmarkStart w:id="14" w:name="page15"/>
    <w:bookmarkEnd w:id="14"/>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BEYOND MEAT, INC. AND SUBSIDIARIES</w:t>
      </w:r>
    </w:p>
    <w:p>
      <w:pPr>
        <w:spacing w:after="0" w:line="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05"/>
        </w:trPr>
        <w:tc>
          <w:tcPr>
            <w:tcW w:w="72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Pr>
          <w:p>
            <w:pPr>
              <w:spacing w:after="0"/>
              <w:rPr>
                <w:sz w:val="17"/>
                <w:szCs w:val="17"/>
                <w:color w:val="auto"/>
              </w:rPr>
            </w:pPr>
          </w:p>
        </w:tc>
        <w:tc>
          <w:tcPr>
            <w:tcW w:w="1400" w:type="dxa"/>
            <w:vAlign w:val="bottom"/>
            <w:gridSpan w:val="2"/>
          </w:tcPr>
          <w:p>
            <w:pPr>
              <w:ind w:left="20"/>
              <w:spacing w:after="0"/>
              <w:rPr>
                <w:sz w:val="20"/>
                <w:szCs w:val="20"/>
                <w:color w:val="auto"/>
              </w:rPr>
            </w:pPr>
            <w:r>
              <w:rPr>
                <w:rFonts w:ascii="Arial" w:cs="Arial" w:eastAsia="Arial" w:hAnsi="Arial"/>
                <w:sz w:val="16"/>
                <w:szCs w:val="16"/>
                <w:b w:val="1"/>
                <w:bCs w:val="1"/>
                <w:color w:val="auto"/>
              </w:rPr>
              <w:t>March 29, 2025</w:t>
            </w:r>
          </w:p>
        </w:tc>
        <w:tc>
          <w:tcPr>
            <w:tcW w:w="140" w:type="dxa"/>
            <w:vAlign w:val="bottom"/>
          </w:tcPr>
          <w:p>
            <w:pPr>
              <w:spacing w:after="0"/>
              <w:rPr>
                <w:sz w:val="17"/>
                <w:szCs w:val="17"/>
                <w:color w:val="auto"/>
              </w:rPr>
            </w:pPr>
          </w:p>
        </w:tc>
        <w:tc>
          <w:tcPr>
            <w:tcW w:w="1320" w:type="dxa"/>
            <w:vAlign w:val="bottom"/>
          </w:tcPr>
          <w:p>
            <w:pPr>
              <w:jc w:val="right"/>
              <w:ind w:right="92"/>
              <w:spacing w:after="0"/>
              <w:rPr>
                <w:sz w:val="20"/>
                <w:szCs w:val="20"/>
                <w:color w:val="auto"/>
              </w:rPr>
            </w:pPr>
            <w:r>
              <w:rPr>
                <w:rFonts w:ascii="Arial" w:cs="Arial" w:eastAsia="Arial" w:hAnsi="Arial"/>
                <w:sz w:val="16"/>
                <w:szCs w:val="16"/>
                <w:b w:val="1"/>
                <w:bCs w:val="1"/>
                <w:color w:val="auto"/>
                <w:w w:val="98"/>
              </w:rPr>
              <w:t>March 30, 2024</w:t>
            </w:r>
          </w:p>
        </w:tc>
        <w:tc>
          <w:tcPr>
            <w:tcW w:w="0" w:type="dxa"/>
            <w:vAlign w:val="bottom"/>
          </w:tcPr>
          <w:p>
            <w:pPr>
              <w:spacing w:after="0"/>
              <w:rPr>
                <w:sz w:val="1"/>
                <w:szCs w:val="1"/>
                <w:color w:val="auto"/>
              </w:rPr>
            </w:pPr>
          </w:p>
        </w:tc>
      </w:tr>
      <w:tr>
        <w:trPr>
          <w:trHeight w:val="205"/>
        </w:trPr>
        <w:tc>
          <w:tcPr>
            <w:tcW w:w="7200" w:type="dxa"/>
            <w:vAlign w:val="bottom"/>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(52,916)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(54,361)</w:t>
            </w:r>
          </w:p>
        </w:tc>
        <w:tc>
          <w:tcPr>
            <w:tcW w:w="0" w:type="dxa"/>
            <w:vAlign w:val="bottom"/>
          </w:tcPr>
          <w:p>
            <w:pPr>
              <w:spacing w:after="0"/>
              <w:rPr>
                <w:sz w:val="1"/>
                <w:szCs w:val="1"/>
                <w:color w:val="auto"/>
              </w:rPr>
            </w:pPr>
          </w:p>
        </w:tc>
      </w:tr>
      <w:tr>
        <w:trPr>
          <w:trHeight w:val="225"/>
        </w:trPr>
        <w:tc>
          <w:tcPr>
            <w:tcW w:w="7200" w:type="dxa"/>
            <w:vAlign w:val="bottom"/>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6,969</w:t>
            </w:r>
          </w:p>
        </w:tc>
        <w:tc>
          <w:tcPr>
            <w:tcW w:w="0" w:type="dxa"/>
            <w:vAlign w:val="bottom"/>
          </w:tcPr>
          <w:p>
            <w:pPr>
              <w:spacing w:after="0"/>
              <w:rPr>
                <w:sz w:val="1"/>
                <w:szCs w:val="1"/>
                <w:color w:val="auto"/>
              </w:rPr>
            </w:pPr>
          </w:p>
        </w:tc>
      </w:tr>
      <w:tr>
        <w:trPr>
          <w:trHeight w:val="225"/>
        </w:trPr>
        <w:tc>
          <w:tcPr>
            <w:tcW w:w="7200" w:type="dxa"/>
            <w:vAlign w:val="bottom"/>
          </w:tcPr>
          <w:p>
            <w:pPr>
              <w:ind w:left="340"/>
              <w:spacing w:after="0"/>
              <w:rPr>
                <w:sz w:val="20"/>
                <w:szCs w:val="20"/>
                <w:color w:val="auto"/>
              </w:rPr>
            </w:pPr>
            <w:r>
              <w:rPr>
                <w:rFonts w:ascii="Arial" w:cs="Arial" w:eastAsia="Arial" w:hAnsi="Arial"/>
                <w:sz w:val="18"/>
                <w:szCs w:val="18"/>
                <w:color w:val="auto"/>
              </w:rPr>
              <w:t>Non-cash lease expense</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2,079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2,074</w:t>
            </w:r>
          </w:p>
        </w:tc>
        <w:tc>
          <w:tcPr>
            <w:tcW w:w="0" w:type="dxa"/>
            <w:vAlign w:val="bottom"/>
          </w:tcPr>
          <w:p>
            <w:pPr>
              <w:spacing w:after="0"/>
              <w:rPr>
                <w:sz w:val="1"/>
                <w:szCs w:val="1"/>
                <w:color w:val="auto"/>
              </w:rPr>
            </w:pPr>
          </w:p>
        </w:tc>
      </w:tr>
      <w:tr>
        <w:trPr>
          <w:trHeight w:val="225"/>
        </w:trPr>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 expense</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6,075</w:t>
            </w:r>
          </w:p>
        </w:tc>
        <w:tc>
          <w:tcPr>
            <w:tcW w:w="0" w:type="dxa"/>
            <w:vAlign w:val="bottom"/>
          </w:tcPr>
          <w:p>
            <w:pPr>
              <w:spacing w:after="0"/>
              <w:rPr>
                <w:sz w:val="1"/>
                <w:szCs w:val="1"/>
                <w:color w:val="auto"/>
              </w:rPr>
            </w:pPr>
          </w:p>
        </w:tc>
      </w:tr>
      <w:tr>
        <w:trPr>
          <w:trHeight w:val="225"/>
        </w:trPr>
        <w:tc>
          <w:tcPr>
            <w:tcW w:w="7200" w:type="dxa"/>
            <w:vAlign w:val="bottom"/>
          </w:tcPr>
          <w:p>
            <w:pPr>
              <w:ind w:left="340"/>
              <w:spacing w:after="0"/>
              <w:rPr>
                <w:sz w:val="20"/>
                <w:szCs w:val="20"/>
                <w:color w:val="auto"/>
              </w:rPr>
            </w:pPr>
            <w:r>
              <w:rPr>
                <w:rFonts w:ascii="Arial" w:cs="Arial" w:eastAsia="Arial" w:hAnsi="Arial"/>
                <w:sz w:val="18"/>
                <w:szCs w:val="18"/>
                <w:color w:val="auto"/>
              </w:rPr>
              <w:t>Loss on sale and write-down of fixed assets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5"/>
        </w:trPr>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debt issuance costs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25"/>
        </w:trPr>
        <w:tc>
          <w:tcPr>
            <w:tcW w:w="7200" w:type="dxa"/>
            <w:vAlign w:val="bottom"/>
          </w:tcPr>
          <w:p>
            <w:pPr>
              <w:ind w:left="340"/>
              <w:spacing w:after="0"/>
              <w:rPr>
                <w:sz w:val="20"/>
                <w:szCs w:val="20"/>
                <w:color w:val="auto"/>
              </w:rPr>
            </w:pPr>
            <w:r>
              <w:rPr>
                <w:rFonts w:ascii="Arial" w:cs="Arial" w:eastAsia="Arial" w:hAnsi="Arial"/>
                <w:sz w:val="18"/>
                <w:szCs w:val="18"/>
                <w:color w:val="auto"/>
              </w:rPr>
              <w:t>Equity in losses (income) of unconsolidated joint venture</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5"/>
        </w:trPr>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(gains) losses on foreign currency transactions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25"/>
        </w:trPr>
        <w:tc>
          <w:tcPr>
            <w:tcW w:w="7200" w:type="dxa"/>
            <w:vAlign w:val="bottom"/>
          </w:tcPr>
          <w:p>
            <w:pPr>
              <w:ind w:left="340"/>
              <w:spacing w:after="0"/>
              <w:rPr>
                <w:sz w:val="20"/>
                <w:szCs w:val="20"/>
                <w:color w:val="auto"/>
              </w:rPr>
            </w:pPr>
            <w:r>
              <w:rPr>
                <w:rFonts w:ascii="Arial" w:cs="Arial" w:eastAsia="Arial" w:hAnsi="Arial"/>
                <w:sz w:val="18"/>
                <w:szCs w:val="18"/>
                <w:color w:val="auto"/>
              </w:rPr>
              <w:t>Net change in operating assets and liabilities: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(4,143)</w:t>
            </w:r>
          </w:p>
        </w:tc>
        <w:tc>
          <w:tcPr>
            <w:tcW w:w="0" w:type="dxa"/>
            <w:vAlign w:val="bottom"/>
          </w:tcPr>
          <w:p>
            <w:pPr>
              <w:spacing w:after="0"/>
              <w:rPr>
                <w:sz w:val="1"/>
                <w:szCs w:val="1"/>
                <w:color w:val="auto"/>
              </w:rPr>
            </w:pPr>
          </w:p>
        </w:tc>
      </w:tr>
      <w:tr>
        <w:trPr>
          <w:trHeight w:val="225"/>
        </w:trPr>
        <w:tc>
          <w:tcPr>
            <w:tcW w:w="720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14,113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7,162</w:t>
            </w:r>
          </w:p>
        </w:tc>
        <w:tc>
          <w:tcPr>
            <w:tcW w:w="0" w:type="dxa"/>
            <w:vAlign w:val="bottom"/>
          </w:tcPr>
          <w:p>
            <w:pPr>
              <w:spacing w:after="0"/>
              <w:rPr>
                <w:sz w:val="1"/>
                <w:szCs w:val="1"/>
                <w:color w:val="auto"/>
              </w:rPr>
            </w:pPr>
          </w:p>
        </w:tc>
      </w:tr>
      <w:tr>
        <w:trPr>
          <w:trHeight w:val="225"/>
        </w:trPr>
        <w:tc>
          <w:tcPr>
            <w:tcW w:w="7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25"/>
        </w:trPr>
        <w:tc>
          <w:tcPr>
            <w:tcW w:w="720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13,976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25"/>
        </w:trPr>
        <w:tc>
          <w:tcPr>
            <w:tcW w:w="7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2,953</w:t>
            </w:r>
          </w:p>
        </w:tc>
        <w:tc>
          <w:tcPr>
            <w:tcW w:w="0" w:type="dxa"/>
            <w:vAlign w:val="bottom"/>
          </w:tcPr>
          <w:p>
            <w:pPr>
              <w:spacing w:after="0"/>
              <w:rPr>
                <w:sz w:val="1"/>
                <w:szCs w:val="1"/>
                <w:color w:val="auto"/>
              </w:rPr>
            </w:pPr>
          </w:p>
        </w:tc>
      </w:tr>
      <w:tr>
        <w:trPr>
          <w:trHeight w:val="225"/>
        </w:trPr>
        <w:tc>
          <w:tcPr>
            <w:tcW w:w="7200" w:type="dxa"/>
            <w:vAlign w:val="bottom"/>
          </w:tcPr>
          <w:p>
            <w:pPr>
              <w:ind w:left="500"/>
              <w:spacing w:after="0"/>
              <w:rPr>
                <w:sz w:val="20"/>
                <w:szCs w:val="20"/>
                <w:color w:val="auto"/>
              </w:rPr>
            </w:pPr>
            <w:r>
              <w:rPr>
                <w:rFonts w:ascii="Arial" w:cs="Arial" w:eastAsia="Arial" w:hAnsi="Arial"/>
                <w:sz w:val="18"/>
                <w:szCs w:val="18"/>
                <w:color w:val="auto"/>
              </w:rPr>
              <w:t>Prepaid lease costs, non-current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(1,768)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(1,669)</w:t>
            </w:r>
          </w:p>
        </w:tc>
        <w:tc>
          <w:tcPr>
            <w:tcW w:w="0" w:type="dxa"/>
            <w:vAlign w:val="bottom"/>
          </w:tcPr>
          <w:p>
            <w:pPr>
              <w:spacing w:after="0"/>
              <w:rPr>
                <w:sz w:val="1"/>
                <w:szCs w:val="1"/>
                <w:color w:val="auto"/>
              </w:rPr>
            </w:pPr>
          </w:p>
        </w:tc>
      </w:tr>
      <w:tr>
        <w:trPr>
          <w:trHeight w:val="225"/>
        </w:trPr>
        <w:tc>
          <w:tcPr>
            <w:tcW w:w="7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Operating lease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18"/>
        </w:trPr>
        <w:tc>
          <w:tcPr>
            <w:tcW w:w="720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(26,146)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(31,805)</w:t>
            </w:r>
          </w:p>
        </w:tc>
        <w:tc>
          <w:tcPr>
            <w:tcW w:w="0" w:type="dxa"/>
            <w:vAlign w:val="bottom"/>
          </w:tcPr>
          <w:p>
            <w:pPr>
              <w:spacing w:after="0"/>
              <w:rPr>
                <w:sz w:val="1"/>
                <w:szCs w:val="1"/>
                <w:color w:val="auto"/>
              </w:rPr>
            </w:pPr>
          </w:p>
        </w:tc>
      </w:tr>
      <w:tr>
        <w:trPr>
          <w:trHeight w:val="205"/>
        </w:trPr>
        <w:tc>
          <w:tcPr>
            <w:tcW w:w="720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200" w:type="dxa"/>
            <w:vAlign w:val="bottom"/>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(4,485)</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(1,197)</w:t>
            </w:r>
          </w:p>
        </w:tc>
        <w:tc>
          <w:tcPr>
            <w:tcW w:w="0" w:type="dxa"/>
            <w:vAlign w:val="bottom"/>
          </w:tcPr>
          <w:p>
            <w:pPr>
              <w:spacing w:after="0"/>
              <w:rPr>
                <w:sz w:val="1"/>
                <w:szCs w:val="1"/>
                <w:color w:val="auto"/>
              </w:rPr>
            </w:pPr>
          </w:p>
        </w:tc>
      </w:tr>
      <w:tr>
        <w:trPr>
          <w:trHeight w:val="225"/>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of fixed assets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25"/>
        </w:trPr>
        <w:tc>
          <w:tcPr>
            <w:tcW w:w="7200" w:type="dxa"/>
            <w:vAlign w:val="bottom"/>
          </w:tcPr>
          <w:p>
            <w:pPr>
              <w:ind w:left="180"/>
              <w:spacing w:after="0"/>
              <w:rPr>
                <w:sz w:val="20"/>
                <w:szCs w:val="20"/>
                <w:color w:val="auto"/>
              </w:rPr>
            </w:pPr>
            <w:r>
              <w:rPr>
                <w:rFonts w:ascii="Arial" w:cs="Arial" w:eastAsia="Arial" w:hAnsi="Arial"/>
                <w:sz w:val="18"/>
                <w:szCs w:val="18"/>
                <w:color w:val="auto"/>
              </w:rPr>
              <w:t>Proceeds from security deposits</w:t>
            </w: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9"/>
        </w:trPr>
        <w:tc>
          <w:tcPr>
            <w:tcW w:w="7200" w:type="dxa"/>
            <w:vAlign w:val="bottom"/>
            <w:tcBorders>
              <w:top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2"/>
        </w:trPr>
        <w:tc>
          <w:tcPr>
            <w:tcW w:w="7200" w:type="dxa"/>
            <w:vAlign w:val="bottom"/>
          </w:tcPr>
          <w:p>
            <w:pPr>
              <w:ind w:left="3960"/>
              <w:spacing w:after="0"/>
              <w:rPr>
                <w:sz w:val="20"/>
                <w:szCs w:val="20"/>
                <w:color w:val="auto"/>
              </w:rPr>
            </w:pPr>
            <w:r>
              <w:rPr>
                <w:rFonts w:ascii="Arial" w:cs="Arial" w:eastAsia="Arial" w:hAnsi="Arial"/>
                <w:sz w:val="18"/>
                <w:szCs w:val="18"/>
                <w:color w:val="auto"/>
              </w:rPr>
              <w:t>(continued on the next page)</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169545</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80"/>
          </w:cols>
          <w:pgMar w:left="860" w:top="1440" w:right="859" w:bottom="1440" w:gutter="0" w:footer="0" w:header="0"/>
        </w:sectPr>
      </w:pPr>
    </w:p>
    <w:bookmarkStart w:id="15" w:name="page16"/>
    <w:bookmarkEnd w:id="15"/>
    <w:p>
      <w:pPr>
        <w:spacing w:after="0" w:line="16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BEYOND MEAT, INC. AND SUBSIDIARIES</w:t>
      </w:r>
    </w:p>
    <w:p>
      <w:pPr>
        <w:spacing w:after="0" w:line="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6"/>
                <w:szCs w:val="16"/>
                <w:b w:val="1"/>
                <w:bCs w:val="1"/>
                <w:color w:val="auto"/>
              </w:rPr>
              <w:t>Three Months Ended</w:t>
            </w:r>
          </w:p>
        </w:tc>
      </w:tr>
      <w:tr>
        <w:trPr>
          <w:trHeight w:val="205"/>
        </w:trPr>
        <w:tc>
          <w:tcPr>
            <w:tcW w:w="7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ind w:left="20"/>
              <w:spacing w:after="0"/>
              <w:rPr>
                <w:sz w:val="20"/>
                <w:szCs w:val="20"/>
                <w:color w:val="auto"/>
              </w:rPr>
            </w:pPr>
            <w:r>
              <w:rPr>
                <w:rFonts w:ascii="Arial" w:cs="Arial" w:eastAsia="Arial" w:hAnsi="Arial"/>
                <w:sz w:val="16"/>
                <w:szCs w:val="16"/>
                <w:b w:val="1"/>
                <w:bCs w:val="1"/>
                <w:color w:val="auto"/>
              </w:rPr>
              <w:t>March 29, 2025</w:t>
            </w:r>
          </w:p>
        </w:tc>
        <w:tc>
          <w:tcPr>
            <w:tcW w:w="140" w:type="dxa"/>
            <w:vAlign w:val="bottom"/>
          </w:tcPr>
          <w:p>
            <w:pPr>
              <w:spacing w:after="0"/>
              <w:rPr>
                <w:sz w:val="17"/>
                <w:szCs w:val="17"/>
                <w:color w:val="auto"/>
              </w:rPr>
            </w:pPr>
          </w:p>
        </w:tc>
        <w:tc>
          <w:tcPr>
            <w:tcW w:w="1320" w:type="dxa"/>
            <w:vAlign w:val="bottom"/>
          </w:tcPr>
          <w:p>
            <w:pPr>
              <w:jc w:val="right"/>
              <w:ind w:right="92"/>
              <w:spacing w:after="0"/>
              <w:rPr>
                <w:sz w:val="20"/>
                <w:szCs w:val="20"/>
                <w:color w:val="auto"/>
              </w:rPr>
            </w:pPr>
            <w:r>
              <w:rPr>
                <w:rFonts w:ascii="Arial" w:cs="Arial" w:eastAsia="Arial" w:hAnsi="Arial"/>
                <w:sz w:val="16"/>
                <w:szCs w:val="16"/>
                <w:b w:val="1"/>
                <w:bCs w:val="1"/>
                <w:color w:val="auto"/>
                <w:w w:val="98"/>
              </w:rPr>
              <w:t>March 30, 2024</w:t>
            </w:r>
          </w:p>
        </w:tc>
      </w:tr>
      <w:tr>
        <w:trPr>
          <w:trHeight w:val="205"/>
        </w:trPr>
        <w:tc>
          <w:tcPr>
            <w:tcW w:w="720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r>
      <w:tr>
        <w:trPr>
          <w:trHeight w:val="225"/>
        </w:trPr>
        <w:tc>
          <w:tcPr>
            <w:tcW w:w="7200" w:type="dxa"/>
            <w:vAlign w:val="bottom"/>
          </w:tcPr>
          <w:p>
            <w:pPr>
              <w:ind w:left="180"/>
              <w:spacing w:after="0"/>
              <w:rPr>
                <w:sz w:val="20"/>
                <w:szCs w:val="20"/>
                <w:color w:val="auto"/>
              </w:rPr>
            </w:pPr>
            <w:r>
              <w:rPr>
                <w:rFonts w:ascii="Arial" w:cs="Arial" w:eastAsia="Arial" w:hAnsi="Arial"/>
                <w:sz w:val="18"/>
                <w:szCs w:val="18"/>
                <w:color w:val="auto"/>
              </w:rPr>
              <w:t>Debt issuance costs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payments under finance lease obligations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r>
      <w:tr>
        <w:trPr>
          <w:trHeight w:val="225"/>
        </w:trPr>
        <w:tc>
          <w:tcPr>
            <w:tcW w:w="7200" w:type="dxa"/>
            <w:vAlign w:val="bottom"/>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5</w:t>
            </w:r>
          </w:p>
        </w:tc>
      </w:tr>
      <w:tr>
        <w:trPr>
          <w:trHeight w:val="225"/>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of minimum withholding taxes on net share settlement of equity awards</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r>
      <w:tr>
        <w:trPr>
          <w:trHeight w:val="219"/>
        </w:trPr>
        <w:tc>
          <w:tcPr>
            <w:tcW w:w="7200" w:type="dxa"/>
            <w:vAlign w:val="bottom"/>
          </w:tcPr>
          <w:p>
            <w:pPr>
              <w:ind w:left="500"/>
              <w:spacing w:after="0"/>
              <w:rPr>
                <w:sz w:val="20"/>
                <w:szCs w:val="20"/>
                <w:color w:val="auto"/>
              </w:rPr>
            </w:pPr>
            <w:r>
              <w:rPr>
                <w:rFonts w:ascii="Arial" w:cs="Arial" w:eastAsia="Arial" w:hAnsi="Arial"/>
                <w:sz w:val="18"/>
                <w:szCs w:val="18"/>
                <w:color w:val="auto"/>
              </w:rPr>
              <w:t>Net cash used in financing activities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(589)</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(941)</w:t>
            </w:r>
          </w:p>
        </w:tc>
      </w:tr>
      <w:tr>
        <w:trPr>
          <w:trHeight w:val="225"/>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(33,048)</w:t>
            </w:r>
          </w:p>
        </w:tc>
      </w:tr>
      <w:tr>
        <w:trPr>
          <w:trHeight w:val="225"/>
        </w:trPr>
        <w:tc>
          <w:tcPr>
            <w:tcW w:w="720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the beginning of the period</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145,554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205,935</w:t>
            </w:r>
          </w:p>
        </w:tc>
      </w:tr>
      <w:tr>
        <w:trPr>
          <w:trHeight w:val="225"/>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597</w:t>
            </w:r>
          </w:p>
        </w:tc>
      </w:tr>
      <w:tr>
        <w:trPr>
          <w:trHeight w:val="192"/>
        </w:trPr>
        <w:tc>
          <w:tcPr>
            <w:tcW w:w="7200" w:type="dxa"/>
            <w:vAlign w:val="bottom"/>
          </w:tcPr>
          <w:p>
            <w:pPr>
              <w:ind w:left="20"/>
              <w:spacing w:after="0" w:line="192" w:lineRule="exact"/>
              <w:rPr>
                <w:sz w:val="20"/>
                <w:szCs w:val="20"/>
                <w:color w:val="auto"/>
              </w:rPr>
            </w:pPr>
            <w:r>
              <w:rPr>
                <w:rFonts w:ascii="Arial" w:cs="Arial" w:eastAsia="Arial" w:hAnsi="Arial"/>
                <w:sz w:val="18"/>
                <w:szCs w:val="18"/>
                <w:color w:val="auto"/>
              </w:rPr>
              <w:t>Cash, cash equivalents and restricted cash at the end of the period</w:t>
            </w:r>
          </w:p>
        </w:tc>
        <w:tc>
          <w:tcPr>
            <w:tcW w:w="1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8"/>
                <w:szCs w:val="18"/>
                <w:color w:val="auto"/>
              </w:rPr>
              <w:t>115,826</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2"/>
              <w:spacing w:after="0" w:line="192" w:lineRule="exact"/>
              <w:rPr>
                <w:sz w:val="20"/>
                <w:szCs w:val="20"/>
                <w:color w:val="auto"/>
              </w:rPr>
            </w:pPr>
            <w:r>
              <w:rPr>
                <w:rFonts w:ascii="Arial" w:cs="Arial" w:eastAsia="Arial" w:hAnsi="Arial"/>
                <w:sz w:val="18"/>
                <w:szCs w:val="18"/>
                <w:color w:val="auto"/>
              </w:rPr>
              <w:t>173,484</w:t>
            </w:r>
          </w:p>
        </w:tc>
      </w:tr>
      <w:tr>
        <w:trPr>
          <w:trHeight w:val="20"/>
        </w:trPr>
        <w:tc>
          <w:tcPr>
            <w:tcW w:w="7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2"/>
        </w:trPr>
        <w:tc>
          <w:tcPr>
            <w:tcW w:w="7200" w:type="dxa"/>
            <w:vAlign w:val="bottom"/>
            <w:shd w:val="clear" w:color="auto" w:fill="CCEEFF"/>
          </w:tcPr>
          <w:p>
            <w:pPr>
              <w:ind w:left="180"/>
              <w:spacing w:after="0" w:line="192"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225"/>
        </w:trPr>
        <w:tc>
          <w:tcPr>
            <w:tcW w:w="7200" w:type="dxa"/>
            <w:vAlign w:val="bottom"/>
          </w:tcPr>
          <w:p>
            <w:pPr>
              <w:ind w:left="180"/>
              <w:spacing w:after="0"/>
              <w:rPr>
                <w:sz w:val="20"/>
                <w:szCs w:val="20"/>
                <w:color w:val="auto"/>
              </w:rPr>
            </w:pPr>
            <w:r>
              <w:rPr>
                <w:rFonts w:ascii="Arial" w:cs="Arial" w:eastAsia="Arial" w:hAnsi="Arial"/>
                <w:sz w:val="18"/>
                <w:szCs w:val="18"/>
                <w:color w:val="auto"/>
              </w:rPr>
              <w:t>Cash paid during the period for:</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5"/>
        </w:trPr>
        <w:tc>
          <w:tcPr>
            <w:tcW w:w="7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200" w:type="dxa"/>
            <w:vAlign w:val="bottom"/>
          </w:tcPr>
          <w:p>
            <w:pPr>
              <w:ind w:left="500"/>
              <w:spacing w:after="0"/>
              <w:rPr>
                <w:sz w:val="20"/>
                <w:szCs w:val="20"/>
                <w:color w:val="auto"/>
              </w:rPr>
            </w:pPr>
            <w:r>
              <w:rPr>
                <w:rFonts w:ascii="Arial" w:cs="Arial" w:eastAsia="Arial" w:hAnsi="Arial"/>
                <w:sz w:val="18"/>
                <w:szCs w:val="18"/>
                <w:color w:val="auto"/>
              </w:rPr>
              <w:t>Taxes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w:t>
            </w:r>
          </w:p>
        </w:tc>
      </w:tr>
      <w:tr>
        <w:trPr>
          <w:trHeight w:val="225"/>
        </w:trPr>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investing and financing activities: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5"/>
        </w:trPr>
        <w:tc>
          <w:tcPr>
            <w:tcW w:w="7200" w:type="dxa"/>
            <w:vAlign w:val="bottom"/>
          </w:tcPr>
          <w:p>
            <w:pPr>
              <w:ind w:left="500"/>
              <w:spacing w:after="0"/>
              <w:rPr>
                <w:sz w:val="20"/>
                <w:szCs w:val="20"/>
                <w:color w:val="auto"/>
              </w:rPr>
            </w:pPr>
            <w:r>
              <w:rPr>
                <w:rFonts w:ascii="Arial" w:cs="Arial" w:eastAsia="Arial" w:hAnsi="Arial"/>
                <w:sz w:val="18"/>
                <w:szCs w:val="18"/>
                <w:color w:val="auto"/>
              </w:rPr>
              <w:t>Non-cash additions to property, plant and equipment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1,531</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809</w:t>
            </w:r>
          </w:p>
        </w:tc>
      </w:tr>
      <w:tr>
        <w:trPr>
          <w:trHeight w:val="225"/>
        </w:trPr>
        <w:tc>
          <w:tcPr>
            <w:tcW w:w="7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Operating lease right-of-use assets obtained in exchange for lease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r>
      <w:tr>
        <w:trPr>
          <w:trHeight w:val="225"/>
        </w:trPr>
        <w:tc>
          <w:tcPr>
            <w:tcW w:w="7200" w:type="dxa"/>
            <w:vAlign w:val="bottom"/>
          </w:tcPr>
          <w:p>
            <w:pPr>
              <w:ind w:left="340"/>
              <w:spacing w:after="0"/>
              <w:rPr>
                <w:sz w:val="20"/>
                <w:szCs w:val="20"/>
                <w:color w:val="auto"/>
              </w:rPr>
            </w:pPr>
            <w:r>
              <w:rPr>
                <w:rFonts w:ascii="Arial" w:cs="Arial" w:eastAsia="Arial" w:hAnsi="Arial"/>
                <w:sz w:val="18"/>
                <w:szCs w:val="18"/>
                <w:color w:val="auto"/>
              </w:rPr>
              <w:t>Reclassification of pre-paid lease costs to operating lease right-of-use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5"/>
        </w:trPr>
        <w:tc>
          <w:tcPr>
            <w:tcW w:w="7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addition to financing leases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4,425</w:t>
            </w:r>
          </w:p>
        </w:tc>
      </w:tr>
      <w:tr>
        <w:trPr>
          <w:trHeight w:val="232"/>
        </w:trPr>
        <w:tc>
          <w:tcPr>
            <w:tcW w:w="7200" w:type="dxa"/>
            <w:vAlign w:val="bottom"/>
          </w:tcPr>
          <w:p>
            <w:pPr>
              <w:ind w:left="4460"/>
              <w:spacing w:after="0"/>
              <w:rPr>
                <w:sz w:val="20"/>
                <w:szCs w:val="20"/>
                <w:color w:val="auto"/>
              </w:rPr>
            </w:pPr>
            <w:r>
              <w:rPr>
                <w:rFonts w:ascii="Arial" w:cs="Arial" w:eastAsia="Arial" w:hAnsi="Arial"/>
                <w:sz w:val="18"/>
                <w:szCs w:val="18"/>
                <w:color w:val="auto"/>
              </w:rPr>
              <w:t>(concluded)</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r>
    </w:tbl>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169545</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80"/>
          </w:cols>
          <w:pgMar w:left="860" w:top="1440" w:right="859" w:bottom="1440" w:gutter="0" w:footer="0" w:header="0"/>
        </w:sectPr>
      </w:pPr>
    </w:p>
    <w:bookmarkStart w:id="16" w:name="page17"/>
    <w:bookmarkEnd w:id="16"/>
    <w:p>
      <w:pPr>
        <w:spacing w:after="0" w:line="112"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Introduction</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The Company</w:t>
      </w:r>
    </w:p>
    <w:p>
      <w:pPr>
        <w:spacing w:after="0" w:line="177" w:lineRule="exact"/>
        <w:rPr>
          <w:sz w:val="20"/>
          <w:szCs w:val="20"/>
          <w:color w:val="auto"/>
        </w:rPr>
      </w:pPr>
    </w:p>
    <w:p>
      <w:pPr>
        <w:ind w:firstLine="318"/>
        <w:spacing w:after="0" w:line="289" w:lineRule="auto"/>
        <w:rPr>
          <w:sz w:val="20"/>
          <w:szCs w:val="20"/>
          <w:color w:val="auto"/>
        </w:rPr>
      </w:pPr>
      <w:r>
        <w:rPr>
          <w:rFonts w:ascii="Arial" w:cs="Arial" w:eastAsia="Arial" w:hAnsi="Arial"/>
          <w:sz w:val="17"/>
          <w:szCs w:val="17"/>
          <w:color w:val="auto"/>
        </w:rPr>
        <w:t>Beyond Meat, Inc., a Delaware corporation (including its subsidiaries unless the context otherwise requires, the “Company”), is a leading plant-based meat company offering a portfolio of revolutionary plant-based meats. The Company builds meat directly from plants, an innovation that enables consumers to experience the taste, texture and other sensory attributes of popular animal-based meat products while enjoying the nutritional and environmental benefits of eating the Company’s plant-based meat products. The Company’s brand promise, “Eat What You Love,” represents a strong belief that there is a better way to feed our future and that the positive choices we all make, no matter how small, can have a great impact on our personal health and the health of our planet. By shifting from animal-based meat to plant-based meat, we can positively impact four growing global issues: human health, climate change, constraints on natural resources and animal welfare.</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Global Operations Review</w:t>
      </w:r>
    </w:p>
    <w:p>
      <w:pPr>
        <w:spacing w:after="0" w:line="177" w:lineRule="exact"/>
        <w:rPr>
          <w:sz w:val="20"/>
          <w:szCs w:val="20"/>
          <w:color w:val="auto"/>
        </w:rPr>
      </w:pPr>
    </w:p>
    <w:p>
      <w:pPr>
        <w:ind w:right="60" w:firstLine="318"/>
        <w:spacing w:after="0" w:line="276" w:lineRule="auto"/>
        <w:rPr>
          <w:sz w:val="20"/>
          <w:szCs w:val="20"/>
          <w:color w:val="auto"/>
        </w:rPr>
      </w:pPr>
      <w:r>
        <w:rPr>
          <w:rFonts w:ascii="Arial" w:cs="Arial" w:eastAsia="Arial" w:hAnsi="Arial"/>
          <w:sz w:val="18"/>
          <w:szCs w:val="18"/>
          <w:color w:val="auto"/>
        </w:rPr>
        <w:t>In 2023, to reduce operating expenses, the Company initiated a review of its global operations (the “Global Operations Review”), narrowing the Company’s commercial focus to certain anticipated growth opportunities, and accelerating activities that prioritize gross margin expansion and cash generation. As part of this review, on November 1, 2023, the Company’s board of directors approved a plan to reduce the Company’s workforce by approximately 65 employees, representing approximately 19% of the Company’s global non-production workforce (or approximately 8% of our total global workforce).</w:t>
      </w:r>
    </w:p>
    <w:p>
      <w:pPr>
        <w:spacing w:after="0" w:line="122" w:lineRule="exact"/>
        <w:rPr>
          <w:sz w:val="20"/>
          <w:szCs w:val="20"/>
          <w:color w:val="auto"/>
        </w:rPr>
      </w:pPr>
    </w:p>
    <w:p>
      <w:pPr>
        <w:ind w:right="100" w:firstLine="318"/>
        <w:spacing w:after="0" w:line="273" w:lineRule="auto"/>
        <w:rPr>
          <w:sz w:val="20"/>
          <w:szCs w:val="20"/>
          <w:color w:val="auto"/>
        </w:rPr>
      </w:pPr>
      <w:r>
        <w:rPr>
          <w:rFonts w:ascii="Arial" w:cs="Arial" w:eastAsia="Arial" w:hAnsi="Arial"/>
          <w:sz w:val="18"/>
          <w:szCs w:val="18"/>
          <w:color w:val="auto"/>
        </w:rPr>
        <w:t>On February 24, 2025, the company’s board of directors approved a plan to reduce the Company’s workforce in North America and the EU by approximately 44 employees, representing approximately 17% of the Company’s global non-production workforce (or approximately 6% of the Company’s total global workforce). In addition, as part of the Company’s Global Operations Review, on February 24, 2025, the Company’s board of directors approved a plan to suspend the Company’s operational activities in China, which are estimated to cease by the end of the second quarter of 2025. As part of this plan, the Company is reducing its workforce in China by approximately 20 employees, representing approximately 95% of the Company’s China workforce (or approximately 3% of the Company’s total global workforce).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66" w:lineRule="exact"/>
        <w:rPr>
          <w:sz w:val="20"/>
          <w:szCs w:val="20"/>
          <w:color w:val="auto"/>
        </w:rPr>
      </w:pPr>
    </w:p>
    <w:p>
      <w:pPr>
        <w:ind w:right="100" w:firstLine="318"/>
        <w:spacing w:after="0" w:line="267" w:lineRule="auto"/>
        <w:rPr>
          <w:sz w:val="20"/>
          <w:szCs w:val="20"/>
          <w:color w:val="auto"/>
        </w:rPr>
      </w:pPr>
      <w:r>
        <w:rPr>
          <w:rFonts w:ascii="Arial" w:cs="Arial" w:eastAsia="Arial" w:hAnsi="Arial"/>
          <w:sz w:val="18"/>
          <w:szCs w:val="18"/>
          <w:color w:val="auto"/>
        </w:rPr>
        <w:t>A detailed description of the Company's significant accounting policies can be found in the Company's Annual Report on Form 10-K for the fiscal year ended December 31, 2024, filed with the SEC on March 5, 2025 (the “2024 10-K”). There have been no material changes in the Company’s significant accounting policies from those that were disclosed in the 2024 10-K, except as noted below.</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64" w:lineRule="exact"/>
        <w:rPr>
          <w:sz w:val="20"/>
          <w:szCs w:val="20"/>
          <w:color w:val="auto"/>
        </w:rPr>
      </w:pPr>
    </w:p>
    <w:p>
      <w:pPr>
        <w:ind w:right="20" w:firstLine="318"/>
        <w:spacing w:after="0" w:line="258" w:lineRule="auto"/>
        <w:rPr>
          <w:sz w:val="20"/>
          <w:szCs w:val="20"/>
          <w:color w:val="auto"/>
        </w:rPr>
      </w:pPr>
      <w:r>
        <w:rPr>
          <w:rFonts w:ascii="Arial" w:cs="Arial" w:eastAsia="Arial" w:hAnsi="Arial"/>
          <w:sz w:val="18"/>
          <w:szCs w:val="18"/>
          <w:color w:val="auto"/>
        </w:rPr>
        <w:t>The unaudited condensed consolidated financial statements have been prepared in conformity with accounting principles generally accepted in the United States of America (“GAAP”) and applicable rules and regulations of the Securities and Exchange Commission (“SEC”) regarding interim financial reporting. Certain information and note disclosures normally included in financial statements prepared in accordance with GAAP have been condensed or omitted pursuant to such rules and regulations. In the opinion of management, the condensed consolidated financial statements include all adjustments necessary, which are of a normal and recurring nature, for the fair presentation of the Company’s financial position and of the results of operations and cash flows for the periods presented. These interim results are not necessarily indicative of the results to be expected for the fiscal year ending December 31, 2025 or for any other interim period or for any other future fiscal year. These condensed consolidated financial statements should be read in conjunction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640"/>
        <w:spacing w:after="0" w:line="290" w:lineRule="auto"/>
        <w:rPr>
          <w:sz w:val="20"/>
          <w:szCs w:val="20"/>
          <w:color w:val="auto"/>
        </w:rPr>
      </w:pPr>
      <w:r>
        <w:rPr>
          <w:rFonts w:ascii="Arial" w:cs="Arial" w:eastAsia="Arial" w:hAnsi="Arial"/>
          <w:sz w:val="18"/>
          <w:szCs w:val="18"/>
          <w:color w:val="auto"/>
        </w:rPr>
        <w:t>Company's audited financial statements and notes thereto included in the 2024 10-K. The condensed consolidated balance sheet as of December 31, 2024 has been derived from the audited financial statements at that date.</w:t>
      </w:r>
    </w:p>
    <w:p>
      <w:pPr>
        <w:spacing w:after="0" w:line="9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77" w:lineRule="exact"/>
        <w:rPr>
          <w:sz w:val="20"/>
          <w:szCs w:val="20"/>
          <w:color w:val="auto"/>
        </w:rPr>
      </w:pPr>
    </w:p>
    <w:p>
      <w:pPr>
        <w:ind w:right="260" w:firstLine="318"/>
        <w:spacing w:after="0" w:line="305" w:lineRule="auto"/>
        <w:rPr>
          <w:sz w:val="20"/>
          <w:szCs w:val="20"/>
          <w:color w:val="auto"/>
        </w:rPr>
      </w:pPr>
      <w:r>
        <w:rPr>
          <w:rFonts w:ascii="Arial" w:cs="Arial" w:eastAsia="Arial" w:hAnsi="Arial"/>
          <w:sz w:val="18"/>
          <w:szCs w:val="18"/>
          <w:color w:val="auto"/>
        </w:rPr>
        <w:t>The unaudited condensed consolidated financial statements include the accounts of the Company and its subsidiaries. All intercompany balances and transactions have been eliminated.</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77" w:lineRule="exact"/>
        <w:rPr>
          <w:sz w:val="20"/>
          <w:szCs w:val="20"/>
          <w:color w:val="auto"/>
        </w:rPr>
      </w:pPr>
    </w:p>
    <w:p>
      <w:pPr>
        <w:ind w:right="180" w:firstLine="318"/>
        <w:spacing w:after="0" w:line="272" w:lineRule="auto"/>
        <w:rPr>
          <w:sz w:val="20"/>
          <w:szCs w:val="20"/>
          <w:color w:val="auto"/>
        </w:rPr>
      </w:pPr>
      <w:r>
        <w:rPr>
          <w:rFonts w:ascii="Arial" w:cs="Arial" w:eastAsia="Arial" w:hAnsi="Arial"/>
          <w:sz w:val="18"/>
          <w:szCs w:val="18"/>
          <w:color w:val="auto"/>
        </w:rPr>
        <w:t xml:space="preserve">The Company has one operating segment and one reportable segment, in the plant-based meat industry, offering a portfolio of revolutionary plant-based meat. The Company’s chief operating decision maker (“CODM”), who is its Chief Executive Officer and President, reviews operating results to make decisions about allocating resources and assessing performance for the entire company. The Company derives revenue primarily in North America and Europe and manages the business activities on a consolidated basis. The Company’s CODM allocates resources and assesses performance at the consolidated level. See </w:t>
      </w:r>
      <w:r>
        <w:rPr>
          <w:rFonts w:ascii="Arial" w:cs="Arial" w:eastAsia="Arial" w:hAnsi="Arial"/>
          <w:sz w:val="18"/>
          <w:szCs w:val="18"/>
          <w:u w:val="single" w:color="auto"/>
          <w:color w:val="0000FF"/>
        </w:rPr>
        <w:t>Note 13</w:t>
      </w:r>
      <w:r>
        <w:rPr>
          <w:rFonts w:ascii="Arial" w:cs="Arial" w:eastAsia="Arial" w:hAnsi="Arial"/>
          <w:sz w:val="18"/>
          <w:szCs w:val="18"/>
          <w:color w:val="auto"/>
        </w:rPr>
        <w:t>.</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Management’s Use of Estimates</w:t>
      </w:r>
    </w:p>
    <w:p>
      <w:pPr>
        <w:spacing w:after="0" w:line="177" w:lineRule="exact"/>
        <w:rPr>
          <w:sz w:val="20"/>
          <w:szCs w:val="20"/>
          <w:color w:val="auto"/>
        </w:rPr>
      </w:pPr>
    </w:p>
    <w:p>
      <w:pPr>
        <w:ind w:right="200" w:firstLine="318"/>
        <w:spacing w:after="0" w:line="288"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certain reported amounts of assets and liabilities and disclosure of contingent assets and liabilities at the date of the financial statements and the reported amounts of revenues and expenses during the reporting period.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could differ from those estimates and such differences may be material to the financial statements.</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Issuance Costs</w:t>
      </w:r>
    </w:p>
    <w:p>
      <w:pPr>
        <w:spacing w:after="0" w:line="177" w:lineRule="exact"/>
        <w:rPr>
          <w:sz w:val="20"/>
          <w:szCs w:val="20"/>
          <w:color w:val="auto"/>
        </w:rPr>
      </w:pPr>
    </w:p>
    <w:p>
      <w:pPr>
        <w:jc w:val="both"/>
        <w:ind w:right="40" w:firstLine="318"/>
        <w:spacing w:after="0" w:line="275" w:lineRule="auto"/>
        <w:rPr>
          <w:sz w:val="20"/>
          <w:szCs w:val="20"/>
          <w:color w:val="auto"/>
        </w:rPr>
      </w:pPr>
      <w:r>
        <w:rPr>
          <w:rFonts w:ascii="Arial" w:cs="Arial" w:eastAsia="Arial" w:hAnsi="Arial"/>
          <w:sz w:val="18"/>
          <w:szCs w:val="18"/>
          <w:color w:val="auto"/>
        </w:rPr>
        <w:t xml:space="preserve">Issuance costs related to the offering of the Company’s Notes (as defined in </w:t>
      </w:r>
      <w:r>
        <w:rPr>
          <w:rFonts w:ascii="Arial" w:cs="Arial" w:eastAsia="Arial" w:hAnsi="Arial"/>
          <w:sz w:val="18"/>
          <w:szCs w:val="18"/>
          <w:u w:val="single" w:color="auto"/>
          <w:color w:val="0000FF"/>
        </w:rPr>
        <w:t>Note 6</w:t>
      </w:r>
      <w:r>
        <w:rPr>
          <w:rFonts w:ascii="Arial" w:cs="Arial" w:eastAsia="Arial" w:hAnsi="Arial"/>
          <w:sz w:val="18"/>
          <w:szCs w:val="18"/>
          <w:color w:val="auto"/>
        </w:rPr>
        <w:t>) were capitalized and offset against proceeds from the Notes. Issuance costs consist of legal and other costs related to the issuance of the Notes and are amortized to interest expense over the term of the Notes. There were $7.5 million and $8.5 million in unamortized issuance costs related to the Notes as of March 29, 2025 and December 31, 2024, respectively.</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Total issuance costs related to the ATM Program (as defined below) as of March 29, 2025 and December 31, 2024 were approximately</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$3.3 million. Of the total issuance costs related to the ATM Program, $0 and $0.3 million remained unpaid as of March 29, 2025 and December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31, 2024, respectively. No additional shares were sold pursuant to the ATM Program in the three months ended March 29, 2025. In the year</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ended December 31, 2024, approximately $1.6 million was capitalized to reflect the costs associated with the issuance of new shares of</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common stock and offset against proceeds from the ATM Program. Unamortized issuance costs related to the ATM Program included in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were $1.7 million as of March 29, 2025 and December 31, 2024.</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64" w:lineRule="exact"/>
        <w:rPr>
          <w:sz w:val="20"/>
          <w:szCs w:val="20"/>
          <w:color w:val="auto"/>
        </w:rPr>
      </w:pPr>
    </w:p>
    <w:p>
      <w:pPr>
        <w:ind w:firstLine="318"/>
        <w:spacing w:after="0" w:line="265" w:lineRule="auto"/>
        <w:rPr>
          <w:sz w:val="20"/>
          <w:szCs w:val="20"/>
          <w:color w:val="auto"/>
        </w:rPr>
      </w:pPr>
      <w:r>
        <w:rPr>
          <w:rFonts w:ascii="Arial" w:cs="Arial" w:eastAsia="Arial" w:hAnsi="Arial"/>
          <w:sz w:val="18"/>
          <w:szCs w:val="18"/>
          <w:color w:val="auto"/>
        </w:rPr>
        <w:t>Foreign currency translation (loss) gain, net of tax, reported as cumulative translation adjustment through Other comprehensive income (loss), net of tax was $ (1.0) million and $0.7 million in the three months ended March 29, 2025 and March 30, 2024, respectively. Net realized and unrealized foreign currency transaction gains (losses) included in Other, net were $3.5 million and $(2.3) million, in the three months ended March 29, 2025 and March 30,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412" w:right="39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had no financial instruments measured at fair value on a recurring basis at March 29, 2025 and December 31, 2024.</w:t>
      </w:r>
    </w:p>
    <w:p>
      <w:pPr>
        <w:spacing w:after="0" w:line="177" w:lineRule="exact"/>
        <w:rPr>
          <w:sz w:val="20"/>
          <w:szCs w:val="20"/>
          <w:color w:val="auto"/>
        </w:rPr>
      </w:pPr>
    </w:p>
    <w:p>
      <w:pPr>
        <w:ind w:right="140" w:firstLine="318"/>
        <w:spacing w:after="0" w:line="305" w:lineRule="auto"/>
        <w:rPr>
          <w:sz w:val="20"/>
          <w:szCs w:val="20"/>
          <w:color w:val="auto"/>
        </w:rPr>
      </w:pPr>
      <w:r>
        <w:rPr>
          <w:rFonts w:ascii="Arial" w:cs="Arial" w:eastAsia="Arial" w:hAnsi="Arial"/>
          <w:sz w:val="18"/>
          <w:szCs w:val="18"/>
          <w:color w:val="auto"/>
        </w:rPr>
        <w:t>There were no transfers of financial assets or liabilities into or out of Level 1, Level 2 or Level 3 in the three months ended March 29, 2025 and March 30, 2024.</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Inventories and Cost of Goods Sold</w:t>
      </w:r>
    </w:p>
    <w:p>
      <w:pPr>
        <w:spacing w:after="0" w:line="177" w:lineRule="exact"/>
        <w:rPr>
          <w:sz w:val="20"/>
          <w:szCs w:val="20"/>
          <w:color w:val="auto"/>
        </w:rPr>
      </w:pPr>
    </w:p>
    <w:p>
      <w:pPr>
        <w:ind w:firstLine="318"/>
        <w:spacing w:after="0" w:line="271" w:lineRule="auto"/>
        <w:rPr>
          <w:sz w:val="20"/>
          <w:szCs w:val="20"/>
          <w:color w:val="auto"/>
        </w:rPr>
      </w:pPr>
      <w:r>
        <w:rPr>
          <w:rFonts w:ascii="Arial" w:cs="Arial" w:eastAsia="Arial" w:hAnsi="Arial"/>
          <w:sz w:val="18"/>
          <w:szCs w:val="18"/>
          <w:color w:val="auto"/>
        </w:rPr>
        <w:t>Inventories are recorded at lower of cost or net realizable value. The Company accounts for inventory using the weighted average cost method. In addition to product cost, inventory costs include expenditures such as direct labor and certain supply and overhead expenses including in-bound shipping and handling costs incurred in bringing the inventory to its existing condition and location. Inventories are comprised primarily of raw materials, direct labor and overhead costs. Weighted average cost method is used to absorb raw materials, direct labor, and overhead into inventory. The Company reviews inventory quantities on hand and records a provision for excess and obsolete inventory based primarily on historical and forecasted demand, estimated shelf life of various raw materials and packaging, work in process and finished goods inventory, as well as the age of the inventory, among other factors.</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7" w:lineRule="exact"/>
        <w:rPr>
          <w:sz w:val="20"/>
          <w:szCs w:val="20"/>
          <w:color w:val="auto"/>
        </w:rPr>
      </w:pPr>
    </w:p>
    <w:p>
      <w:pPr>
        <w:jc w:val="both"/>
        <w:ind w:right="360" w:firstLine="318"/>
        <w:spacing w:after="0" w:line="283" w:lineRule="auto"/>
        <w:rPr>
          <w:sz w:val="20"/>
          <w:szCs w:val="20"/>
          <w:color w:val="auto"/>
        </w:rPr>
      </w:pPr>
      <w:r>
        <w:rPr>
          <w:rFonts w:ascii="Arial" w:cs="Arial" w:eastAsia="Arial" w:hAnsi="Arial"/>
          <w:sz w:val="18"/>
          <w:szCs w:val="18"/>
          <w:color w:val="auto"/>
        </w:rPr>
        <w:t>At the end of each accounting period, the Company recognizes a contra asset to accounts receivable for estimated sales discounts that have been incurred but not paid which totaled $3.8 million and $6.8 million as of March 29, 2025 and December 31, 2024, respectively. The offsetting charge is recorded as a reduction of revenues in the same period when the expense is incurred.</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Presentation of Net Revenues by Channel</w:t>
      </w:r>
    </w:p>
    <w:p>
      <w:pPr>
        <w:spacing w:after="0" w:line="177" w:lineRule="exact"/>
        <w:rPr>
          <w:sz w:val="20"/>
          <w:szCs w:val="20"/>
          <w:color w:val="auto"/>
        </w:rPr>
      </w:pPr>
    </w:p>
    <w:p>
      <w:pPr>
        <w:ind w:right="260" w:firstLine="318"/>
        <w:spacing w:after="0" w:line="305" w:lineRule="auto"/>
        <w:rPr>
          <w:sz w:val="20"/>
          <w:szCs w:val="20"/>
          <w:color w:val="auto"/>
        </w:rPr>
      </w:pPr>
      <w:r>
        <w:rPr>
          <w:rFonts w:ascii="Arial" w:cs="Arial" w:eastAsia="Arial" w:hAnsi="Arial"/>
          <w:sz w:val="18"/>
          <w:szCs w:val="18"/>
          <w:color w:val="auto"/>
        </w:rPr>
        <w:t>The Company’s revenues are attributed to the country where the products are delivered. The following table presents the Company’s net revenues by channel:</w:t>
      </w:r>
    </w:p>
    <w:p>
      <w:pPr>
        <w:spacing w:after="0" w:line="126" w:lineRule="exact"/>
        <w:rPr>
          <w:sz w:val="20"/>
          <w:szCs w:val="20"/>
          <w:color w:val="auto"/>
        </w:rPr>
      </w:pPr>
    </w:p>
    <w:p>
      <w:pPr>
        <w:jc w:val="center"/>
        <w:ind w:left="842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5354955</wp:posOffset>
            </wp:positionH>
            <wp:positionV relativeFrom="paragraph">
              <wp:posOffset>18415</wp:posOffset>
            </wp:positionV>
            <wp:extent cx="17837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83715" cy="8255"/>
                    </a:xfrm>
                    <a:prstGeom prst="rect">
                      <a:avLst/>
                    </a:prstGeom>
                    <a:noFill/>
                  </pic:spPr>
                </pic:pic>
              </a:graphicData>
            </a:graphic>
          </wp:anchor>
        </w:drawing>
      </w:r>
    </w:p>
    <w:p>
      <w:pPr>
        <w:spacing w:after="0" w:line="21" w:lineRule="exact"/>
        <w:rPr>
          <w:sz w:val="20"/>
          <w:szCs w:val="20"/>
          <w:color w:val="auto"/>
        </w:rPr>
      </w:pPr>
    </w:p>
    <w:p>
      <w:pPr>
        <w:jc w:val="center"/>
        <w:ind w:left="8380"/>
        <w:spacing w:after="0"/>
        <w:tabs>
          <w:tab w:leader="none" w:pos="300" w:val="left"/>
        </w:tabs>
        <w:rPr>
          <w:sz w:val="20"/>
          <w:szCs w:val="20"/>
          <w:color w:val="auto"/>
        </w:rPr>
      </w:pPr>
      <w:r>
        <w:rPr>
          <w:rFonts w:ascii="Arial" w:cs="Arial" w:eastAsia="Arial" w:hAnsi="Arial"/>
          <w:sz w:val="16"/>
          <w:szCs w:val="16"/>
          <w:b w:val="1"/>
          <w:bCs w:val="1"/>
          <w:color w:val="auto"/>
        </w:rPr>
        <w:t>March 29, 2025</w:t>
      </w:r>
      <w:r>
        <w:rPr>
          <w:sz w:val="20"/>
          <w:szCs w:val="20"/>
          <w:color w:val="auto"/>
        </w:rPr>
        <w:tab/>
      </w:r>
      <w:r>
        <w:rPr>
          <w:rFonts w:ascii="Arial" w:cs="Arial" w:eastAsia="Arial" w:hAnsi="Arial"/>
          <w:sz w:val="16"/>
          <w:szCs w:val="16"/>
          <w:b w:val="1"/>
          <w:bCs w:val="1"/>
          <w:color w:val="auto"/>
        </w:rPr>
        <w:t>March 30, 2024</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100" w:type="dxa"/>
            <w:vAlign w:val="bottom"/>
            <w:tcBorders>
              <w:top w:val="single" w:sz="8" w:color="CCEEFF"/>
              <w:bottom w:val="single" w:sz="8" w:color="auto"/>
            </w:tcBorders>
            <w:shd w:val="clear" w:color="auto" w:fill="CCEEFF"/>
          </w:tcPr>
          <w:p>
            <w:pPr>
              <w:spacing w:after="0" w:line="152" w:lineRule="exact"/>
              <w:rPr>
                <w:sz w:val="20"/>
                <w:szCs w:val="20"/>
                <w:color w:val="auto"/>
              </w:rPr>
            </w:pPr>
            <w:r>
              <w:rPr>
                <w:rFonts w:ascii="Arial" w:cs="Arial" w:eastAsia="Arial" w:hAnsi="Arial"/>
                <w:sz w:val="16"/>
                <w:szCs w:val="16"/>
                <w:b w:val="1"/>
                <w:bCs w:val="1"/>
                <w:color w:val="auto"/>
                <w:w w:val="97"/>
              </w:rPr>
              <w:t>(in thousands)</w:t>
            </w:r>
          </w:p>
        </w:tc>
        <w:tc>
          <w:tcPr>
            <w:tcW w:w="7320" w:type="dxa"/>
            <w:vAlign w:val="bottom"/>
            <w:tcBorders>
              <w:top w:val="single" w:sz="8" w:color="CCEEFF"/>
              <w:bottom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CCEEFF"/>
            </w:tcBorders>
            <w:shd w:val="clear" w:color="auto" w:fill="CCEEFF"/>
          </w:tcPr>
          <w:p>
            <w:pPr>
              <w:spacing w:after="0"/>
              <w:rPr>
                <w:sz w:val="14"/>
                <w:szCs w:val="14"/>
                <w:color w:val="auto"/>
              </w:rPr>
            </w:pPr>
          </w:p>
        </w:tc>
        <w:tc>
          <w:tcPr>
            <w:tcW w:w="92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CCEEFF"/>
            </w:tcBorders>
            <w:shd w:val="clear" w:color="auto" w:fill="CCEEFF"/>
          </w:tcPr>
          <w:p>
            <w:pPr>
              <w:spacing w:after="0"/>
              <w:rPr>
                <w:sz w:val="14"/>
                <w:szCs w:val="14"/>
                <w:color w:val="auto"/>
              </w:rPr>
            </w:pPr>
          </w:p>
        </w:tc>
        <w:tc>
          <w:tcPr>
            <w:tcW w:w="940" w:type="dxa"/>
            <w:vAlign w:val="bottom"/>
            <w:tcBorders>
              <w:top w:val="single" w:sz="8" w:color="auto"/>
              <w:bottom w:val="single" w:sz="8" w:color="CCEEFF"/>
            </w:tcBorders>
            <w:shd w:val="clear" w:color="auto" w:fill="CCEEFF"/>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8420" w:type="dxa"/>
            <w:vAlign w:val="bottom"/>
            <w:gridSpan w:val="2"/>
          </w:tcPr>
          <w:p>
            <w:pPr>
              <w:ind w:left="280"/>
              <w:spacing w:after="0"/>
              <w:rPr>
                <w:sz w:val="20"/>
                <w:szCs w:val="20"/>
                <w:color w:val="auto"/>
              </w:rPr>
            </w:pPr>
            <w:r>
              <w:rPr>
                <w:rFonts w:ascii="Arial" w:cs="Arial" w:eastAsia="Arial" w:hAnsi="Arial"/>
                <w:sz w:val="18"/>
                <w:szCs w:val="18"/>
                <w:color w:val="auto"/>
              </w:rPr>
              <w:t>U.S.:</w:t>
            </w: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5"/>
        </w:trPr>
        <w:tc>
          <w:tcPr>
            <w:tcW w:w="20" w:type="dxa"/>
            <w:vAlign w:val="bottom"/>
            <w:shd w:val="clear" w:color="auto" w:fill="CCEEFF"/>
          </w:tcPr>
          <w:p>
            <w:pPr>
              <w:spacing w:after="0"/>
              <w:rPr>
                <w:sz w:val="19"/>
                <w:szCs w:val="19"/>
                <w:color w:val="auto"/>
              </w:rPr>
            </w:pPr>
          </w:p>
        </w:tc>
        <w:tc>
          <w:tcPr>
            <w:tcW w:w="8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Retail</w:t>
            </w: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37,088</w:t>
            </w:r>
          </w:p>
        </w:tc>
      </w:tr>
      <w:tr>
        <w:trPr>
          <w:trHeight w:val="225"/>
        </w:trPr>
        <w:tc>
          <w:tcPr>
            <w:tcW w:w="20" w:type="dxa"/>
            <w:vAlign w:val="bottom"/>
            <w:tcBorders>
              <w:bottom w:val="single" w:sz="8" w:color="CCEEFF"/>
            </w:tcBorders>
          </w:tcPr>
          <w:p>
            <w:pPr>
              <w:spacing w:after="0"/>
              <w:rPr>
                <w:sz w:val="19"/>
                <w:szCs w:val="19"/>
                <w:color w:val="auto"/>
              </w:rPr>
            </w:pPr>
          </w:p>
        </w:tc>
        <w:tc>
          <w:tcPr>
            <w:tcW w:w="842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Foodservice</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12,304</w:t>
            </w:r>
          </w:p>
        </w:tc>
      </w:tr>
      <w:tr>
        <w:trPr>
          <w:trHeight w:val="218"/>
        </w:trPr>
        <w:tc>
          <w:tcPr>
            <w:tcW w:w="20" w:type="dxa"/>
            <w:vAlign w:val="bottom"/>
            <w:shd w:val="clear" w:color="auto" w:fill="CCEEFF"/>
          </w:tcPr>
          <w:p>
            <w:pPr>
              <w:spacing w:after="0"/>
              <w:rPr>
                <w:sz w:val="19"/>
                <w:szCs w:val="19"/>
                <w:color w:val="auto"/>
              </w:rPr>
            </w:pPr>
          </w:p>
        </w:tc>
        <w:tc>
          <w:tcPr>
            <w:tcW w:w="8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U.S. net revenues</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40,773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49,392</w:t>
            </w:r>
          </w:p>
        </w:tc>
      </w:tr>
      <w:tr>
        <w:trPr>
          <w:trHeight w:val="205"/>
        </w:trPr>
        <w:tc>
          <w:tcPr>
            <w:tcW w:w="20" w:type="dxa"/>
            <w:vAlign w:val="bottom"/>
          </w:tcPr>
          <w:p>
            <w:pPr>
              <w:spacing w:after="0"/>
              <w:rPr>
                <w:sz w:val="17"/>
                <w:szCs w:val="17"/>
                <w:color w:val="auto"/>
              </w:rPr>
            </w:pPr>
          </w:p>
        </w:tc>
        <w:tc>
          <w:tcPr>
            <w:tcW w:w="8420" w:type="dxa"/>
            <w:vAlign w:val="bottom"/>
            <w:gridSpan w:val="2"/>
          </w:tcPr>
          <w:p>
            <w:pPr>
              <w:ind w:left="280"/>
              <w:spacing w:after="0" w:line="205" w:lineRule="exact"/>
              <w:rPr>
                <w:sz w:val="20"/>
                <w:szCs w:val="20"/>
                <w:color w:val="auto"/>
              </w:rPr>
            </w:pPr>
            <w:r>
              <w:rPr>
                <w:rFonts w:ascii="Arial" w:cs="Arial" w:eastAsia="Arial" w:hAnsi="Arial"/>
                <w:sz w:val="18"/>
                <w:szCs w:val="18"/>
                <w:color w:val="auto"/>
              </w:rPr>
              <w:t>International:</w:t>
            </w: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5"/>
        </w:trPr>
        <w:tc>
          <w:tcPr>
            <w:tcW w:w="20" w:type="dxa"/>
            <w:vAlign w:val="bottom"/>
            <w:shd w:val="clear" w:color="auto" w:fill="CCEEFF"/>
          </w:tcPr>
          <w:p>
            <w:pPr>
              <w:spacing w:after="0"/>
              <w:rPr>
                <w:sz w:val="19"/>
                <w:szCs w:val="19"/>
                <w:color w:val="auto"/>
              </w:rPr>
            </w:pPr>
          </w:p>
        </w:tc>
        <w:tc>
          <w:tcPr>
            <w:tcW w:w="84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Retail</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12,578</w:t>
            </w:r>
          </w:p>
        </w:tc>
      </w:tr>
      <w:tr>
        <w:trPr>
          <w:trHeight w:val="225"/>
        </w:trPr>
        <w:tc>
          <w:tcPr>
            <w:tcW w:w="20" w:type="dxa"/>
            <w:vAlign w:val="bottom"/>
            <w:tcBorders>
              <w:bottom w:val="single" w:sz="8" w:color="CCEEFF"/>
            </w:tcBorders>
          </w:tcPr>
          <w:p>
            <w:pPr>
              <w:spacing w:after="0"/>
              <w:rPr>
                <w:sz w:val="19"/>
                <w:szCs w:val="19"/>
                <w:color w:val="auto"/>
              </w:rPr>
            </w:pPr>
          </w:p>
        </w:tc>
        <w:tc>
          <w:tcPr>
            <w:tcW w:w="842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Foodservice</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13,633</w:t>
            </w:r>
          </w:p>
        </w:tc>
      </w:tr>
      <w:tr>
        <w:trPr>
          <w:trHeight w:val="218"/>
        </w:trPr>
        <w:tc>
          <w:tcPr>
            <w:tcW w:w="20" w:type="dxa"/>
            <w:vAlign w:val="bottom"/>
            <w:shd w:val="clear" w:color="auto" w:fill="CCEEFF"/>
          </w:tcPr>
          <w:p>
            <w:pPr>
              <w:spacing w:after="0"/>
              <w:rPr>
                <w:sz w:val="19"/>
                <w:szCs w:val="19"/>
                <w:color w:val="auto"/>
              </w:rPr>
            </w:pPr>
          </w:p>
        </w:tc>
        <w:tc>
          <w:tcPr>
            <w:tcW w:w="8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International net revenues</w:t>
            </w: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26,211</w:t>
            </w:r>
          </w:p>
        </w:tc>
      </w:tr>
      <w:tr>
        <w:trPr>
          <w:trHeight w:val="219"/>
        </w:trPr>
        <w:tc>
          <w:tcPr>
            <w:tcW w:w="20" w:type="dxa"/>
            <w:vAlign w:val="bottom"/>
          </w:tcPr>
          <w:p>
            <w:pPr>
              <w:spacing w:after="0"/>
              <w:rPr>
                <w:sz w:val="19"/>
                <w:szCs w:val="19"/>
                <w:color w:val="auto"/>
              </w:rPr>
            </w:pPr>
          </w:p>
        </w:tc>
        <w:tc>
          <w:tcPr>
            <w:tcW w:w="8420" w:type="dxa"/>
            <w:vAlign w:val="bottom"/>
            <w:gridSpan w:val="2"/>
          </w:tcPr>
          <w:p>
            <w:pPr>
              <w:ind w:left="120"/>
              <w:spacing w:after="0"/>
              <w:rPr>
                <w:sz w:val="20"/>
                <w:szCs w:val="20"/>
                <w:color w:val="auto"/>
              </w:rPr>
            </w:pPr>
            <w:r>
              <w:rPr>
                <w:rFonts w:ascii="Arial" w:cs="Arial" w:eastAsia="Arial" w:hAnsi="Arial"/>
                <w:sz w:val="18"/>
                <w:szCs w:val="18"/>
                <w:color w:val="auto"/>
              </w:rPr>
              <w:t>Net revenues</w:t>
            </w:r>
          </w:p>
        </w:tc>
        <w:tc>
          <w:tcPr>
            <w:tcW w:w="4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68,731</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75,603</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ind w:right="280" w:firstLine="318"/>
        <w:spacing w:after="0" w:line="275" w:lineRule="auto"/>
        <w:rPr>
          <w:sz w:val="20"/>
          <w:szCs w:val="20"/>
          <w:color w:val="auto"/>
        </w:rPr>
      </w:pPr>
      <w:r>
        <w:rPr>
          <w:rFonts w:ascii="Arial" w:cs="Arial" w:eastAsia="Arial" w:hAnsi="Arial"/>
          <w:sz w:val="18"/>
          <w:szCs w:val="18"/>
          <w:color w:val="auto"/>
        </w:rPr>
        <w:t>One distributor accounted for approximately 14% and 13% of the Company’s gross revenues, respectively, in the three months ended March 29, 2025 and March 30, 2024. No other distributor or customer accounted for more than 10% of the Company’s gross revenues in the three months ended March 29, 2025 and March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Prepaid Expenses</w:t>
      </w:r>
    </w:p>
    <w:p>
      <w:pPr>
        <w:spacing w:after="0" w:line="191" w:lineRule="exact"/>
        <w:rPr>
          <w:sz w:val="20"/>
          <w:szCs w:val="20"/>
          <w:color w:val="auto"/>
        </w:rPr>
      </w:pPr>
    </w:p>
    <w:p>
      <w:pPr>
        <w:ind w:firstLine="318"/>
        <w:spacing w:after="0" w:line="275" w:lineRule="auto"/>
        <w:rPr>
          <w:sz w:val="20"/>
          <w:szCs w:val="20"/>
          <w:color w:val="auto"/>
        </w:rPr>
      </w:pPr>
      <w:r>
        <w:rPr>
          <w:rFonts w:ascii="Arial" w:cs="Arial" w:eastAsia="Arial" w:hAnsi="Arial"/>
          <w:sz w:val="18"/>
          <w:szCs w:val="18"/>
          <w:color w:val="auto"/>
        </w:rPr>
        <w:t>Prepaid expenses primarily include prepaid insurance and other prepaid vendor costs, which are expensed in the period to which they relate. Prepaid expenses are included in Prepaid expenses and other current assets in the Company’s condensed consolidated balance sheets and were $10.9 million and $7.8 million as of March 29, 2025 and December 31, 2024, respectively.</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77" w:lineRule="exact"/>
        <w:rPr>
          <w:sz w:val="20"/>
          <w:szCs w:val="20"/>
          <w:color w:val="auto"/>
        </w:rPr>
      </w:pPr>
    </w:p>
    <w:p>
      <w:pPr>
        <w:ind w:right="560" w:firstLine="318"/>
        <w:spacing w:after="0" w:line="305" w:lineRule="auto"/>
        <w:rPr>
          <w:sz w:val="20"/>
          <w:szCs w:val="20"/>
          <w:color w:val="auto"/>
        </w:rPr>
      </w:pPr>
      <w:r>
        <w:rPr>
          <w:rFonts w:ascii="Arial" w:cs="Arial" w:eastAsia="Arial" w:hAnsi="Arial"/>
          <w:sz w:val="18"/>
          <w:szCs w:val="18"/>
          <w:color w:val="auto"/>
        </w:rPr>
        <w:t>Outbound shipping and handling costs included in selling, general and administrative (“SG&amp;A”) expenses in the three months ended March 29, 2025 and March 30, 2024 were $1.4 million and $2.1 million, respectively.</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77" w:lineRule="exact"/>
        <w:rPr>
          <w:sz w:val="20"/>
          <w:szCs w:val="20"/>
          <w:color w:val="auto"/>
        </w:rPr>
      </w:pPr>
    </w:p>
    <w:p>
      <w:pPr>
        <w:ind w:firstLine="318"/>
        <w:spacing w:after="0" w:line="268" w:lineRule="auto"/>
        <w:rPr>
          <w:sz w:val="20"/>
          <w:szCs w:val="20"/>
          <w:color w:val="auto"/>
        </w:rPr>
      </w:pPr>
      <w:r>
        <w:rPr>
          <w:rFonts w:ascii="Arial" w:cs="Arial" w:eastAsia="Arial" w:hAnsi="Arial"/>
          <w:sz w:val="18"/>
          <w:szCs w:val="18"/>
          <w:color w:val="auto"/>
        </w:rPr>
        <w:t>In October 2023, the Financial Accounting Standards Board (“FASB”) issued Accounting Standards Update (“ASU”) 2023-06 “Disclosure Improvements—Codification Amendments in Response to the SEC’s Disclosure Update and Simplification Initiative” (“ASU 2023-06”), which provides amendments to the Codification in response to the 2018 SEC release No. 33-10532, “Disclosure Update and Simplification.” The amendments modify the disclosure and presentation requirements of a variety of Topics in the Codification and apply to all reporting entities within the scope of the affected Topics. ASU 2023-06 is effective for companies that are subject to the SEC’s existing disclosure requirements and for entities required to file or furnish financial statements with or to the SEC in preparation for the sale of or purpose of issuing securities on the date which the SEC removes the related disclosure from Regulation S-X or Regulation S-K. Early adoption is prohibited. For all other entities, the amendments are effective two years later. If the SEC has not removed the applicable disclosure from Regulation S-X or Regulation S-K by June 30, 2027, the pending content related to ASU 2023-06 will not become effective for any entity and will be removed from the codification. Adoption of ASU 2023-06 is expected to modify the disclosure and presentation requirements only and is not expected to have a material impact on the Company’s financial position, results of operations or cash flows.</w:t>
      </w:r>
    </w:p>
    <w:p>
      <w:pPr>
        <w:spacing w:after="0" w:line="147" w:lineRule="exact"/>
        <w:rPr>
          <w:sz w:val="20"/>
          <w:szCs w:val="20"/>
          <w:color w:val="auto"/>
        </w:rPr>
      </w:pPr>
    </w:p>
    <w:p>
      <w:pPr>
        <w:ind w:firstLine="318"/>
        <w:spacing w:after="0" w:line="270" w:lineRule="auto"/>
        <w:rPr>
          <w:sz w:val="20"/>
          <w:szCs w:val="20"/>
          <w:color w:val="auto"/>
        </w:rPr>
      </w:pPr>
      <w:r>
        <w:rPr>
          <w:rFonts w:ascii="Arial" w:cs="Arial" w:eastAsia="Arial" w:hAnsi="Arial"/>
          <w:sz w:val="18"/>
          <w:szCs w:val="18"/>
          <w:color w:val="auto"/>
        </w:rPr>
        <w:t>In November 2024, the FASB issued ASU 2024-03—Income Statement—Reporting Comprehensive Income—Expense Disaggregation Disclosures (Subtopic 220-40): Disaggregation of Income Statement Expenses (“ASU 2024-03”) in order to improve the disclosures about a public business entity’s expenses and address requests from investors for more detailed information about the types of expenses in commonly presented expense captions. In January 2025, the FASB issued ASU 2025-01—Income Statement—Reporting Comprehensive Income— Expense Disaggregation Disclosures (Subtopic 220-40): Clarifying the Effective Date (“ASU 2025-01”) to clarify the effective date of ASU 2024-03.</w:t>
      </w:r>
    </w:p>
    <w:p>
      <w:pPr>
        <w:spacing w:after="0" w:line="140" w:lineRule="exact"/>
        <w:rPr>
          <w:sz w:val="20"/>
          <w:szCs w:val="20"/>
          <w:color w:val="auto"/>
        </w:rPr>
      </w:pPr>
    </w:p>
    <w:p>
      <w:pPr>
        <w:ind w:right="180" w:firstLine="318"/>
        <w:spacing w:after="0" w:line="290" w:lineRule="auto"/>
        <w:rPr>
          <w:sz w:val="20"/>
          <w:szCs w:val="20"/>
          <w:color w:val="auto"/>
        </w:rPr>
      </w:pPr>
      <w:r>
        <w:rPr>
          <w:rFonts w:ascii="Arial" w:cs="Arial" w:eastAsia="Arial" w:hAnsi="Arial"/>
          <w:sz w:val="18"/>
          <w:szCs w:val="18"/>
          <w:color w:val="auto"/>
        </w:rPr>
        <w:t>The amendments in ASU 2024-03 require disclosure, in the notes to the financial statements, of specified information about certain costs and expenses in interim and year-end reporting periods. Specifically, entities will be required to:</w:t>
      </w:r>
    </w:p>
    <w:p>
      <w:pPr>
        <w:spacing w:after="0" w:line="96" w:lineRule="exact"/>
        <w:rPr>
          <w:sz w:val="20"/>
          <w:szCs w:val="20"/>
          <w:color w:val="auto"/>
        </w:rPr>
      </w:pPr>
    </w:p>
    <w:p>
      <w:pPr>
        <w:ind w:left="640" w:hanging="316"/>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Disclose the amounts of (a) purchase of inventory, (b) employee compensation, (c) depreciation, (d) intangible asset amortization, and</w:t>
      </w:r>
    </w:p>
    <w:p>
      <w:pPr>
        <w:spacing w:after="0" w:line="36" w:lineRule="exact"/>
        <w:rPr>
          <w:rFonts w:ascii="Arial" w:cs="Arial" w:eastAsia="Arial" w:hAnsi="Arial"/>
          <w:sz w:val="17"/>
          <w:szCs w:val="17"/>
          <w:color w:val="auto"/>
        </w:rPr>
      </w:pPr>
    </w:p>
    <w:p>
      <w:pPr>
        <w:ind w:left="640" w:right="220" w:firstLine="2"/>
        <w:spacing w:after="0" w:line="282" w:lineRule="auto"/>
        <w:tabs>
          <w:tab w:leader="none" w:pos="905" w:val="left"/>
        </w:tabs>
        <w:numPr>
          <w:ilvl w:val="1"/>
          <w:numId w:val="9"/>
        </w:numPr>
        <w:rPr>
          <w:rFonts w:ascii="Arial" w:cs="Arial" w:eastAsia="Arial" w:hAnsi="Arial"/>
          <w:sz w:val="18"/>
          <w:szCs w:val="18"/>
          <w:color w:val="auto"/>
        </w:rPr>
      </w:pPr>
      <w:r>
        <w:rPr>
          <w:rFonts w:ascii="Arial" w:cs="Arial" w:eastAsia="Arial" w:hAnsi="Arial"/>
          <w:sz w:val="18"/>
          <w:szCs w:val="18"/>
          <w:color w:val="auto"/>
        </w:rPr>
        <w:t>depreciation, depletion, and amortization recognized as part of oil- and gas-producing activities included in each expense caption presented on the face of the Statement of Operations within continuing operations that includes items (a)-(e).</w:t>
      </w:r>
    </w:p>
    <w:p>
      <w:pPr>
        <w:spacing w:after="0" w:line="103" w:lineRule="exact"/>
        <w:rPr>
          <w:rFonts w:ascii="Arial" w:cs="Arial" w:eastAsia="Arial" w:hAnsi="Arial"/>
          <w:sz w:val="18"/>
          <w:szCs w:val="18"/>
          <w:color w:val="auto"/>
        </w:rPr>
      </w:pPr>
    </w:p>
    <w:p>
      <w:pPr>
        <w:ind w:left="640" w:right="1040" w:hanging="316"/>
        <w:spacing w:after="0" w:line="290" w:lineRule="auto"/>
        <w:tabs>
          <w:tab w:leader="none" w:pos="628"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 certain amounts that are already required to be disclosed under current GAAP in the same disclosure as the other disaggregation requirements.</w:t>
      </w:r>
    </w:p>
    <w:p>
      <w:pPr>
        <w:spacing w:after="0" w:line="96" w:lineRule="exact"/>
        <w:rPr>
          <w:rFonts w:ascii="Arial" w:cs="Arial" w:eastAsia="Arial" w:hAnsi="Arial"/>
          <w:sz w:val="18"/>
          <w:szCs w:val="18"/>
          <w:color w:val="auto"/>
        </w:rPr>
      </w:pPr>
    </w:p>
    <w:p>
      <w:pPr>
        <w:ind w:left="640" w:right="680" w:hanging="316"/>
        <w:spacing w:after="0" w:line="290" w:lineRule="auto"/>
        <w:tabs>
          <w:tab w:leader="none" w:pos="628"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Disclose a qualitative description of the amounts remaining in relevant expense captions that are not separately disaggregated quantitatively.</w:t>
      </w:r>
    </w:p>
    <w:p>
      <w:pPr>
        <w:spacing w:after="0" w:line="109" w:lineRule="exact"/>
        <w:rPr>
          <w:rFonts w:ascii="Arial" w:cs="Arial" w:eastAsia="Arial" w:hAnsi="Arial"/>
          <w:sz w:val="18"/>
          <w:szCs w:val="18"/>
          <w:color w:val="auto"/>
        </w:rPr>
      </w:pPr>
    </w:p>
    <w:p>
      <w:pPr>
        <w:ind w:left="640" w:hanging="31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Disclose the total amount of selling expenses and, in annual reporting periods, an entity’s definition of selling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412" w:right="39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80" w:firstLine="318"/>
        <w:spacing w:after="0" w:line="273" w:lineRule="auto"/>
        <w:rPr>
          <w:sz w:val="20"/>
          <w:szCs w:val="20"/>
          <w:color w:val="auto"/>
        </w:rPr>
      </w:pPr>
      <w:r>
        <w:rPr>
          <w:rFonts w:ascii="Arial" w:cs="Arial" w:eastAsia="Arial" w:hAnsi="Arial"/>
          <w:sz w:val="18"/>
          <w:szCs w:val="18"/>
          <w:color w:val="auto"/>
        </w:rPr>
        <w:t>Pursuant to ASU 2025-01, the amendments in ASU 2024-03 apply to all public business entities and are effective for annual reporting periods beginning after December 15, 2026, and interim reporting periods beginning after December 15, 2027. Early adoption is permitted. The amendments are to be applied either (1) prospectively to financial statements issued for reporting periods after the effective date or (2) retrospectively to any or all prior periods presented in the financial statements. Adoption of ASU 2024-03 is expected to modify the disclosure and presentation requirements only and is not expected to have a material impact on the Company’s financial position, results of operations or cash flows.</w:t>
      </w:r>
    </w:p>
    <w:p>
      <w:pPr>
        <w:spacing w:after="0" w:line="124" w:lineRule="exact"/>
        <w:rPr>
          <w:sz w:val="20"/>
          <w:szCs w:val="20"/>
          <w:color w:val="auto"/>
        </w:rPr>
      </w:pPr>
    </w:p>
    <w:p>
      <w:pPr>
        <w:ind w:firstLine="318"/>
        <w:spacing w:after="0" w:line="269" w:lineRule="auto"/>
        <w:rPr>
          <w:sz w:val="20"/>
          <w:szCs w:val="20"/>
          <w:color w:val="auto"/>
        </w:rPr>
      </w:pPr>
      <w:r>
        <w:rPr>
          <w:rFonts w:ascii="Arial" w:cs="Arial" w:eastAsia="Arial" w:hAnsi="Arial"/>
          <w:sz w:val="18"/>
          <w:szCs w:val="18"/>
          <w:color w:val="auto"/>
        </w:rPr>
        <w:t>In November 2024, the FASB issued ASU 2024-04—Debt—Debt with Conversion and Other Options (Subtopic 470-20): Induced Conversions of Convertible Debt Instruments (“ASU 2024-04”) to improve the relevance and consistency in the application of induced conversion guidance in Subtopic 470-20, Debt—Debt with Conversion and Other Options. The amendments in ASU 2024-04 clarify the requirements for determining whether certain settlements of convertible debt instruments should be accounted for as an induced conversion. The amendments in ASU 2024-04 affect entities that settle convertible debt instruments for which the conversion privileges were changed to induce conversion. The amendments in ASU 2024-04 are effective for all entities for annual reporting periods beginning after December 15, 2025, and interim reporting periods within those annual reporting periods. Early adoption is permitted for all entities that have adopted the amendments in ASU 2020-06. The amendments in ASU 2024-04 permit an entity to apply the new guidance on either a prospective or a retrospective basis. The Company has not determined the impact of the adoption of ASU 2024-04 will have on the Company’s financial position, results of operations or cash flows.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7" w:lineRule="exact"/>
        <w:rPr>
          <w:sz w:val="20"/>
          <w:szCs w:val="20"/>
          <w:color w:val="auto"/>
        </w:rPr>
      </w:pPr>
    </w:p>
    <w:p>
      <w:pPr>
        <w:ind w:right="140" w:firstLine="318"/>
        <w:spacing w:after="0" w:line="289" w:lineRule="auto"/>
        <w:rPr>
          <w:sz w:val="20"/>
          <w:szCs w:val="20"/>
          <w:color w:val="auto"/>
        </w:rPr>
      </w:pPr>
      <w:r>
        <w:rPr>
          <w:rFonts w:ascii="Arial" w:cs="Arial" w:eastAsia="Arial" w:hAnsi="Arial"/>
          <w:sz w:val="17"/>
          <w:szCs w:val="17"/>
          <w:color w:val="auto"/>
        </w:rPr>
        <w:t xml:space="preserve">In December 2023, the FASB issued “ASU 2023-09—Income Taxes (Topic 740)—Improvements to Income Tax Disclosures” (“ASU 2023-09”) which amends the Codification to enhance the transparency and decision usefulness of income tax disclosures. ASU 2023-09 requires additional disaggregation of the reconciliation between the statutory and effective tax rate for an entity and of income taxes paid, both of which are disclosures required by current GAAP. The amendments improve the transparency of income tax disclosures by requiring (1) consistent categories and greater disaggregation of information in the rate reconciliation and (2) income taxes paid disaggregated by jurisdiction. The amendments in ASU 2023-09 apply to all entities that are subject to Topic 740, </w:t>
      </w:r>
      <w:r>
        <w:rPr>
          <w:rFonts w:ascii="Arial" w:cs="Arial" w:eastAsia="Arial" w:hAnsi="Arial"/>
          <w:sz w:val="17"/>
          <w:szCs w:val="17"/>
          <w:i w:val="1"/>
          <w:iCs w:val="1"/>
          <w:color w:val="auto"/>
        </w:rPr>
        <w:t>Income Taxes</w:t>
      </w:r>
      <w:r>
        <w:rPr>
          <w:rFonts w:ascii="Arial" w:cs="Arial" w:eastAsia="Arial" w:hAnsi="Arial"/>
          <w:sz w:val="17"/>
          <w:szCs w:val="17"/>
          <w:color w:val="auto"/>
        </w:rPr>
        <w:t>. For public business entities, the amendments in ASU 2023-09 are effective for annual periods beginning after December 15, 2024. The Company adopted ASU 2023-09 beginning January 1, 2025. Adoption of ASU 2023-09 did not have a material impact on the Company’s financial position, results of operations or cash flows.</w:t>
      </w:r>
    </w:p>
    <w:p>
      <w:pPr>
        <w:spacing w:after="0" w:line="118" w:lineRule="exact"/>
        <w:rPr>
          <w:sz w:val="20"/>
          <w:szCs w:val="20"/>
          <w:color w:val="auto"/>
        </w:rPr>
      </w:pPr>
    </w:p>
    <w:p>
      <w:pPr>
        <w:ind w:firstLine="318"/>
        <w:spacing w:after="0" w:line="273" w:lineRule="auto"/>
        <w:rPr>
          <w:sz w:val="20"/>
          <w:szCs w:val="20"/>
          <w:color w:val="auto"/>
        </w:rPr>
      </w:pPr>
      <w:r>
        <w:rPr>
          <w:rFonts w:ascii="Arial" w:cs="Arial" w:eastAsia="Arial" w:hAnsi="Arial"/>
          <w:sz w:val="18"/>
          <w:szCs w:val="18"/>
          <w:color w:val="auto"/>
        </w:rPr>
        <w:t>In March 2024, the FASB issued ASU 2024-02 “Codification Improvements—Amendments to Remove References to the Concepts Statements” (“ASU 2024-02”) which amends the Codification to remove references to various FASB Concept Statements. The amendments in ASU 2024-02 are considered to be Codification improvements only. The amendments in ASU 2024-02 apply to all reporting entities within the scope of the affected accounting guidance and are effective for the Company for fiscal years beginning after December 15, 2024. The Company adopted ASU 2024-02 beginning January 1, 2025. Adoption of ASU 2024-02 did not have a material impact on the Company’s financial position, results of operations or cash flows.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Leases</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9.</w:t>
      </w:r>
    </w:p>
    <w:p>
      <w:pPr>
        <w:spacing w:after="0" w:line="177" w:lineRule="exact"/>
        <w:rPr>
          <w:sz w:val="20"/>
          <w:szCs w:val="20"/>
          <w:color w:val="auto"/>
        </w:rPr>
      </w:pPr>
    </w:p>
    <w:p>
      <w:pPr>
        <w:ind w:right="120" w:firstLine="318"/>
        <w:spacing w:after="0" w:line="275" w:lineRule="auto"/>
        <w:rPr>
          <w:sz w:val="20"/>
          <w:szCs w:val="20"/>
          <w:color w:val="auto"/>
        </w:rPr>
      </w:pPr>
      <w:r>
        <w:rPr>
          <w:rFonts w:ascii="Arial" w:cs="Arial" w:eastAsia="Arial" w:hAnsi="Arial"/>
          <w:sz w:val="18"/>
          <w:szCs w:val="18"/>
          <w:color w:val="auto"/>
        </w:rPr>
        <w:t>Leases are classified as either finance leases or operating leases based on criteria in Accounting Standards Codification (“ASC”) 842. The Company has operating leases for its corporate offices, including the Campus Headquarters (as defined below), its manufacturing facilities, warehouses and vehicles, and to a lesser extent, certain equipment and finance leases. Such leases generally have original lease terms between 2 years and 12 years, and often include one or more options to renew. Some leases also include early termination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80"/>
        <w:spacing w:after="0" w:line="321" w:lineRule="auto"/>
        <w:rPr>
          <w:sz w:val="20"/>
          <w:szCs w:val="20"/>
          <w:color w:val="auto"/>
        </w:rPr>
      </w:pPr>
      <w:r>
        <w:rPr>
          <w:rFonts w:ascii="Arial" w:cs="Arial" w:eastAsia="Arial" w:hAnsi="Arial"/>
          <w:sz w:val="17"/>
          <w:szCs w:val="17"/>
          <w:color w:val="auto"/>
        </w:rPr>
        <w:t>which can be exercised under specific conditions. The Company includes options to extend the lease term if the options are reasonably certain of being exercised. The Company does not have residual value guarantees or material restrictive covenants associated with its leases.</w:t>
      </w:r>
    </w:p>
    <w:p>
      <w:pPr>
        <w:spacing w:after="0" w:line="100" w:lineRule="exact"/>
        <w:rPr>
          <w:sz w:val="20"/>
          <w:szCs w:val="20"/>
          <w:color w:val="auto"/>
        </w:rPr>
      </w:pPr>
    </w:p>
    <w:p>
      <w:pPr>
        <w:ind w:right="60" w:firstLine="318"/>
        <w:spacing w:after="0" w:line="272" w:lineRule="auto"/>
        <w:rPr>
          <w:sz w:val="20"/>
          <w:szCs w:val="20"/>
          <w:color w:val="auto"/>
        </w:rPr>
      </w:pPr>
      <w:r>
        <w:rPr>
          <w:rFonts w:ascii="Arial" w:cs="Arial" w:eastAsia="Arial" w:hAnsi="Arial"/>
          <w:sz w:val="18"/>
          <w:szCs w:val="18"/>
          <w:color w:val="auto"/>
        </w:rPr>
        <w:t>On January 14, 2021, the Company entered into a 12-year lease with two 5-year renewal options (“Campus Lease”) to house its corporate headquarters, lab and innovation space (“Campus Headquarters”) in El Segundo, California. Although the Company is involved in the design of the tenant improvements of the Campus Headquarters, the Company does not have title or possession of the assets during construction. In addition, the Company does not have the ability to control the leased Campus Headquarters until each phase of the tenant improvements is complete.</w:t>
      </w:r>
    </w:p>
    <w:p>
      <w:pPr>
        <w:spacing w:after="0" w:line="112" w:lineRule="exact"/>
        <w:rPr>
          <w:sz w:val="20"/>
          <w:szCs w:val="20"/>
          <w:color w:val="auto"/>
        </w:rPr>
      </w:pPr>
    </w:p>
    <w:p>
      <w:pPr>
        <w:ind w:right="400" w:firstLine="318"/>
        <w:spacing w:after="0" w:line="264" w:lineRule="auto"/>
        <w:rPr>
          <w:sz w:val="20"/>
          <w:szCs w:val="20"/>
          <w:color w:val="auto"/>
        </w:rPr>
      </w:pPr>
      <w:r>
        <w:rPr>
          <w:rFonts w:ascii="Arial" w:cs="Arial" w:eastAsia="Arial" w:hAnsi="Arial"/>
          <w:sz w:val="18"/>
          <w:szCs w:val="18"/>
          <w:color w:val="auto"/>
        </w:rPr>
        <w:t>The Company paid $1.8 million and $6.5 million in rent prepayments and payments towards construction costs of the Campus Headquarters in the three months ended March 29, 2025 and the year ended December 31, 2024, respectively. The rent prepayments and payments towards construction costs are initially recorded in Prepaid lease costs, non-current in the Company’s condensed consolidated balance sheets and will ultimately be reclassified as a component of a right-of-use asset upon lease commencement for each phase of the lease.</w:t>
      </w:r>
    </w:p>
    <w:p>
      <w:pPr>
        <w:spacing w:after="0" w:line="134"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On September 17, 2024, the Company entered into an amendment to the Campus Lease, which amendment: (i) revised the square footage of the premises, building and project to: (a) increase the Company’s base rent by approximately $851,000 over the initial lease term; (b) adjust the Company’s percentage share of direct expenses; and (c) increase the tenant improvement allowance to reflect a reduction in the scope of landlord’s work; (ii) specify which improvements must be removed by the Company from the premises if the premises are not occupied in their entirety throughout the initial lease term and first extension term; and (iii) address other ministerial matters concerning the Campus Lease. Costs associated with this amendment are included in operating lease costs related to research and development expenses and SG&amp;A expenses and are reflected in the tables below.</w:t>
      </w:r>
    </w:p>
    <w:p>
      <w:pPr>
        <w:spacing w:after="0" w:line="126" w:lineRule="exact"/>
        <w:rPr>
          <w:sz w:val="20"/>
          <w:szCs w:val="20"/>
          <w:color w:val="auto"/>
        </w:rPr>
      </w:pPr>
    </w:p>
    <w:p>
      <w:pPr>
        <w:ind w:right="160" w:firstLine="318"/>
        <w:spacing w:after="0" w:line="267" w:lineRule="auto"/>
        <w:rPr>
          <w:sz w:val="20"/>
          <w:szCs w:val="20"/>
          <w:color w:val="auto"/>
        </w:rPr>
      </w:pPr>
      <w:r>
        <w:rPr>
          <w:rFonts w:ascii="Arial" w:cs="Arial" w:eastAsia="Arial" w:hAnsi="Arial"/>
          <w:sz w:val="18"/>
          <w:szCs w:val="18"/>
          <w:color w:val="auto"/>
        </w:rPr>
        <w:t>The lease on the Company’s Manhattan Beach Project Innovation Center expired on January 31, 2024. Costs associated with this lease through its expiration date are included in operating lease costs related to research and development expenses and are reflected in the tables below.</w:t>
      </w:r>
    </w:p>
    <w:p>
      <w:pPr>
        <w:spacing w:after="0" w:line="131" w:lineRule="exact"/>
        <w:rPr>
          <w:sz w:val="20"/>
          <w:szCs w:val="20"/>
          <w:color w:val="auto"/>
        </w:rPr>
      </w:pPr>
    </w:p>
    <w:p>
      <w:pPr>
        <w:ind w:right="40" w:firstLine="318"/>
        <w:spacing w:after="0" w:line="278" w:lineRule="auto"/>
        <w:rPr>
          <w:sz w:val="20"/>
          <w:szCs w:val="20"/>
          <w:color w:val="auto"/>
        </w:rPr>
      </w:pPr>
      <w:r>
        <w:rPr>
          <w:rFonts w:ascii="Arial" w:cs="Arial" w:eastAsia="Arial" w:hAnsi="Arial"/>
          <w:sz w:val="17"/>
          <w:szCs w:val="17"/>
          <w:color w:val="auto"/>
        </w:rPr>
        <w:t>Given the Company’s intention to reduce its overall operating expenses and cash expenditures, on February 2, 2024, the Company terminated the agreement to purchase a property in Enschede, the Netherlands (the “Enschede Property”) and the security deposit was returned to the Company, which was subsequently paid to the purchaser of the property to be applied towards the deposit and future lease payments. The Company entered into a lease agreement with the purchaser of the property to lease the approximately 114,000 square foot property for an initial period of five years with an option to renew for an additional five years at an annual rent of approximately €1.0 million. The lease is classified as a finance lease in the Company’s condensed consolidated balance sheets as of March 29, 2025 and December 31, 2024. Costs associated with this lease are included in finance lease costs related to cost of goods sold and are reflected in the tables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412"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Lease costs for operating and finance leases were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6"/>
                <w:szCs w:val="16"/>
                <w:b w:val="1"/>
                <w:bCs w:val="1"/>
                <w:color w:val="auto"/>
              </w:rPr>
              <w:t>Three Months Ended</w:t>
            </w:r>
          </w:p>
        </w:tc>
      </w:tr>
      <w:tr>
        <w:trPr>
          <w:trHeight w:val="165"/>
        </w:trPr>
        <w:tc>
          <w:tcPr>
            <w:tcW w:w="20" w:type="dxa"/>
            <w:vAlign w:val="bottom"/>
          </w:tcPr>
          <w:p>
            <w:pPr>
              <w:spacing w:after="0"/>
              <w:rPr>
                <w:sz w:val="14"/>
                <w:szCs w:val="14"/>
                <w:color w:val="auto"/>
              </w:rPr>
            </w:pPr>
          </w:p>
        </w:tc>
        <w:tc>
          <w:tcPr>
            <w:tcW w:w="3920" w:type="dxa"/>
            <w:vAlign w:val="bottom"/>
            <w:gridSpan w:val="5"/>
          </w:tcPr>
          <w:p>
            <w:pPr>
              <w:spacing w:after="0" w:line="165" w:lineRule="exact"/>
              <w:rPr>
                <w:sz w:val="20"/>
                <w:szCs w:val="20"/>
                <w:color w:val="auto"/>
              </w:rPr>
            </w:pPr>
            <w:r>
              <w:rPr>
                <w:rFonts w:ascii="Arial" w:cs="Arial" w:eastAsia="Arial" w:hAnsi="Arial"/>
                <w:sz w:val="16"/>
                <w:szCs w:val="16"/>
                <w:b w:val="1"/>
                <w:bCs w:val="1"/>
                <w:color w:val="auto"/>
              </w:rPr>
              <w:t>(in thousands)</w:t>
            </w:r>
          </w:p>
        </w:tc>
        <w:tc>
          <w:tcPr>
            <w:tcW w:w="4020" w:type="dxa"/>
            <w:vAlign w:val="bottom"/>
            <w:gridSpan w:val="2"/>
          </w:tcPr>
          <w:p>
            <w:pPr>
              <w:ind w:left="20"/>
              <w:spacing w:after="0" w:line="165" w:lineRule="exact"/>
              <w:rPr>
                <w:sz w:val="20"/>
                <w:szCs w:val="20"/>
                <w:color w:val="auto"/>
              </w:rPr>
            </w:pPr>
            <w:r>
              <w:rPr>
                <w:rFonts w:ascii="Arial" w:cs="Arial" w:eastAsia="Arial" w:hAnsi="Arial"/>
                <w:sz w:val="16"/>
                <w:szCs w:val="16"/>
                <w:b w:val="1"/>
                <w:bCs w:val="1"/>
                <w:color w:val="auto"/>
              </w:rPr>
              <w:t>Statement of Operations Location</w:t>
            </w:r>
          </w:p>
        </w:tc>
        <w:tc>
          <w:tcPr>
            <w:tcW w:w="140" w:type="dxa"/>
            <w:vAlign w:val="bottom"/>
          </w:tcPr>
          <w:p>
            <w:pPr>
              <w:spacing w:after="0"/>
              <w:rPr>
                <w:sz w:val="14"/>
                <w:szCs w:val="14"/>
                <w:color w:val="auto"/>
              </w:rPr>
            </w:pPr>
          </w:p>
        </w:tc>
        <w:tc>
          <w:tcPr>
            <w:tcW w:w="1440" w:type="dxa"/>
            <w:vAlign w:val="bottom"/>
            <w:gridSpan w:val="2"/>
          </w:tcPr>
          <w:p>
            <w:pPr>
              <w:ind w:left="40"/>
              <w:spacing w:after="0" w:line="165" w:lineRule="exact"/>
              <w:rPr>
                <w:sz w:val="20"/>
                <w:szCs w:val="20"/>
                <w:color w:val="auto"/>
              </w:rPr>
            </w:pPr>
            <w:r>
              <w:rPr>
                <w:rFonts w:ascii="Arial" w:cs="Arial" w:eastAsia="Arial" w:hAnsi="Arial"/>
                <w:sz w:val="16"/>
                <w:szCs w:val="16"/>
                <w:b w:val="1"/>
                <w:bCs w:val="1"/>
                <w:color w:val="auto"/>
              </w:rPr>
              <w:t>March 29, 2025</w:t>
            </w:r>
          </w:p>
        </w:tc>
        <w:tc>
          <w:tcPr>
            <w:tcW w:w="160" w:type="dxa"/>
            <w:vAlign w:val="bottom"/>
          </w:tcPr>
          <w:p>
            <w:pPr>
              <w:spacing w:after="0"/>
              <w:rPr>
                <w:sz w:val="14"/>
                <w:szCs w:val="14"/>
                <w:color w:val="auto"/>
              </w:rPr>
            </w:pPr>
          </w:p>
        </w:tc>
        <w:tc>
          <w:tcPr>
            <w:tcW w:w="1380" w:type="dxa"/>
            <w:vAlign w:val="bottom"/>
          </w:tcPr>
          <w:p>
            <w:pPr>
              <w:jc w:val="right"/>
              <w:ind w:right="112"/>
              <w:spacing w:after="0" w:line="165" w:lineRule="exact"/>
              <w:rPr>
                <w:sz w:val="20"/>
                <w:szCs w:val="20"/>
                <w:color w:val="auto"/>
              </w:rPr>
            </w:pPr>
            <w:r>
              <w:rPr>
                <w:rFonts w:ascii="Arial" w:cs="Arial" w:eastAsia="Arial" w:hAnsi="Arial"/>
                <w:sz w:val="16"/>
                <w:szCs w:val="16"/>
                <w:b w:val="1"/>
                <w:bCs w:val="1"/>
                <w:color w:val="auto"/>
              </w:rPr>
              <w:t>March 30, 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85"/>
        </w:trPr>
        <w:tc>
          <w:tcPr>
            <w:tcW w:w="2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auto"/>
            </w:tcBorders>
            <w:gridSpan w:val="3"/>
            <w:shd w:val="clear" w:color="auto" w:fill="CCEEFF"/>
          </w:tcPr>
          <w:p>
            <w:pPr>
              <w:spacing w:after="0" w:line="165" w:lineRule="exact"/>
              <w:rPr>
                <w:sz w:val="20"/>
                <w:szCs w:val="20"/>
                <w:color w:val="auto"/>
              </w:rPr>
            </w:pPr>
            <w:r>
              <w:rPr>
                <w:rFonts w:ascii="Arial" w:cs="Arial" w:eastAsia="Arial" w:hAnsi="Arial"/>
                <w:sz w:val="18"/>
                <w:szCs w:val="18"/>
                <w:color w:val="auto"/>
                <w:w w:val="97"/>
              </w:rPr>
              <w:t>Operating lease cost:</w:t>
            </w:r>
          </w:p>
        </w:tc>
        <w:tc>
          <w:tcPr>
            <w:tcW w:w="2240" w:type="dxa"/>
            <w:vAlign w:val="bottom"/>
            <w:tcBorders>
              <w:bottom w:val="single" w:sz="8" w:color="CCEEFF"/>
            </w:tcBorders>
            <w:gridSpan w:val="2"/>
            <w:shd w:val="clear" w:color="auto" w:fill="CCEEFF"/>
          </w:tcPr>
          <w:p>
            <w:pPr>
              <w:spacing w:after="0"/>
              <w:rPr>
                <w:sz w:val="16"/>
                <w:szCs w:val="16"/>
                <w:color w:val="auto"/>
              </w:rPr>
            </w:pPr>
          </w:p>
        </w:tc>
        <w:tc>
          <w:tcPr>
            <w:tcW w:w="3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r>
      <w:tr>
        <w:trPr>
          <w:trHeight w:val="225"/>
        </w:trPr>
        <w:tc>
          <w:tcPr>
            <w:tcW w:w="20" w:type="dxa"/>
            <w:vAlign w:val="bottom"/>
          </w:tcPr>
          <w:p>
            <w:pPr>
              <w:spacing w:after="0"/>
              <w:rPr>
                <w:sz w:val="19"/>
                <w:szCs w:val="19"/>
                <w:color w:val="auto"/>
              </w:rPr>
            </w:pPr>
          </w:p>
        </w:tc>
        <w:tc>
          <w:tcPr>
            <w:tcW w:w="3920" w:type="dxa"/>
            <w:vAlign w:val="bottom"/>
            <w:gridSpan w:val="5"/>
          </w:tcPr>
          <w:p>
            <w:pPr>
              <w:ind w:left="160"/>
              <w:spacing w:after="0"/>
              <w:rPr>
                <w:sz w:val="20"/>
                <w:szCs w:val="20"/>
                <w:color w:val="auto"/>
              </w:rPr>
            </w:pPr>
            <w:r>
              <w:rPr>
                <w:rFonts w:ascii="Arial" w:cs="Arial" w:eastAsia="Arial" w:hAnsi="Arial"/>
                <w:sz w:val="18"/>
                <w:szCs w:val="18"/>
                <w:color w:val="auto"/>
              </w:rPr>
              <w:t>Lease cost</w:t>
            </w:r>
          </w:p>
        </w:tc>
        <w:tc>
          <w:tcPr>
            <w:tcW w:w="402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396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397</w:t>
            </w:r>
          </w:p>
        </w:tc>
      </w:tr>
      <w:tr>
        <w:trPr>
          <w:trHeight w:val="225"/>
        </w:trPr>
        <w:tc>
          <w:tcPr>
            <w:tcW w:w="20" w:type="dxa"/>
            <w:vAlign w:val="bottom"/>
            <w:shd w:val="clear" w:color="auto" w:fill="CCEEFF"/>
          </w:tcPr>
          <w:p>
            <w:pPr>
              <w:spacing w:after="0"/>
              <w:rPr>
                <w:sz w:val="19"/>
                <w:szCs w:val="19"/>
                <w:color w:val="auto"/>
              </w:rPr>
            </w:pPr>
          </w:p>
        </w:tc>
        <w:tc>
          <w:tcPr>
            <w:tcW w:w="39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Lease cost</w:t>
            </w: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w:t>
            </w:r>
          </w:p>
        </w:tc>
      </w:tr>
      <w:tr>
        <w:trPr>
          <w:trHeight w:val="225"/>
        </w:trPr>
        <w:tc>
          <w:tcPr>
            <w:tcW w:w="20" w:type="dxa"/>
            <w:vAlign w:val="bottom"/>
          </w:tcPr>
          <w:p>
            <w:pPr>
              <w:spacing w:after="0"/>
              <w:rPr>
                <w:sz w:val="19"/>
                <w:szCs w:val="19"/>
                <w:color w:val="auto"/>
              </w:rPr>
            </w:pPr>
          </w:p>
        </w:tc>
        <w:tc>
          <w:tcPr>
            <w:tcW w:w="3920" w:type="dxa"/>
            <w:vAlign w:val="bottom"/>
            <w:gridSpan w:val="5"/>
          </w:tcPr>
          <w:p>
            <w:pPr>
              <w:ind w:left="160"/>
              <w:spacing w:after="0"/>
              <w:rPr>
                <w:sz w:val="20"/>
                <w:szCs w:val="20"/>
                <w:color w:val="auto"/>
              </w:rPr>
            </w:pPr>
            <w:r>
              <w:rPr>
                <w:rFonts w:ascii="Arial" w:cs="Arial" w:eastAsia="Arial" w:hAnsi="Arial"/>
                <w:sz w:val="18"/>
                <w:szCs w:val="18"/>
                <w:color w:val="auto"/>
              </w:rPr>
              <w:t>Lease cost</w:t>
            </w:r>
          </w:p>
        </w:tc>
        <w:tc>
          <w:tcPr>
            <w:tcW w:w="4020" w:type="dxa"/>
            <w:vAlign w:val="bottom"/>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668</w:t>
            </w:r>
          </w:p>
        </w:tc>
      </w:tr>
      <w:tr>
        <w:trPr>
          <w:trHeight w:val="265"/>
        </w:trPr>
        <w:tc>
          <w:tcPr>
            <w:tcW w:w="20" w:type="dxa"/>
            <w:vAlign w:val="bottom"/>
            <w:shd w:val="clear" w:color="auto" w:fill="CCEEFF"/>
          </w:tcPr>
          <w:p>
            <w:pPr>
              <w:spacing w:after="0"/>
              <w:rPr>
                <w:sz w:val="23"/>
                <w:szCs w:val="23"/>
                <w:color w:val="auto"/>
              </w:rPr>
            </w:pPr>
          </w:p>
        </w:tc>
        <w:tc>
          <w:tcPr>
            <w:tcW w:w="39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Variable lease cost</w:t>
            </w:r>
            <w:r>
              <w:rPr>
                <w:rFonts w:ascii="Arial" w:cs="Arial" w:eastAsia="Arial" w:hAnsi="Arial"/>
                <w:sz w:val="22"/>
                <w:szCs w:val="22"/>
                <w:color w:val="auto"/>
                <w:vertAlign w:val="superscript"/>
              </w:rPr>
              <w:t>(1)</w:t>
            </w: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65"/>
        </w:trPr>
        <w:tc>
          <w:tcPr>
            <w:tcW w:w="20" w:type="dxa"/>
            <w:vAlign w:val="bottom"/>
          </w:tcPr>
          <w:p>
            <w:pPr>
              <w:spacing w:after="0"/>
              <w:rPr>
                <w:sz w:val="23"/>
                <w:szCs w:val="23"/>
                <w:color w:val="auto"/>
              </w:rPr>
            </w:pPr>
          </w:p>
        </w:tc>
        <w:tc>
          <w:tcPr>
            <w:tcW w:w="3920" w:type="dxa"/>
            <w:vAlign w:val="bottom"/>
            <w:gridSpan w:val="5"/>
          </w:tcPr>
          <w:p>
            <w:pPr>
              <w:ind w:left="160"/>
              <w:spacing w:after="0"/>
              <w:rPr>
                <w:sz w:val="20"/>
                <w:szCs w:val="20"/>
                <w:color w:val="auto"/>
              </w:rPr>
            </w:pPr>
            <w:r>
              <w:rPr>
                <w:rFonts w:ascii="Arial" w:cs="Arial" w:eastAsia="Arial" w:hAnsi="Arial"/>
                <w:sz w:val="18"/>
                <w:szCs w:val="18"/>
                <w:color w:val="auto"/>
              </w:rPr>
              <w:t>Variable lease cost</w:t>
            </w:r>
            <w:r>
              <w:rPr>
                <w:rFonts w:ascii="Arial" w:cs="Arial" w:eastAsia="Arial" w:hAnsi="Arial"/>
                <w:sz w:val="22"/>
                <w:szCs w:val="22"/>
                <w:color w:val="auto"/>
                <w:vertAlign w:val="superscript"/>
              </w:rPr>
              <w:t>(1)</w:t>
            </w:r>
          </w:p>
        </w:tc>
        <w:tc>
          <w:tcPr>
            <w:tcW w:w="402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tcPr>
          <w:p>
            <w:pPr>
              <w:spacing w:after="0"/>
              <w:rPr>
                <w:sz w:val="23"/>
                <w:szCs w:val="23"/>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65"/>
        </w:trPr>
        <w:tc>
          <w:tcPr>
            <w:tcW w:w="20" w:type="dxa"/>
            <w:vAlign w:val="bottom"/>
            <w:shd w:val="clear" w:color="auto" w:fill="CCEEFF"/>
          </w:tcPr>
          <w:p>
            <w:pPr>
              <w:spacing w:after="0"/>
              <w:rPr>
                <w:sz w:val="23"/>
                <w:szCs w:val="23"/>
                <w:color w:val="auto"/>
              </w:rPr>
            </w:pPr>
          </w:p>
        </w:tc>
        <w:tc>
          <w:tcPr>
            <w:tcW w:w="39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Variable lease cost</w:t>
            </w:r>
            <w:r>
              <w:rPr>
                <w:rFonts w:ascii="Arial" w:cs="Arial" w:eastAsia="Arial" w:hAnsi="Arial"/>
                <w:sz w:val="22"/>
                <w:szCs w:val="22"/>
                <w:color w:val="auto"/>
                <w:vertAlign w:val="superscript"/>
              </w:rPr>
              <w:t>(1)</w:t>
            </w: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w:t>
            </w:r>
          </w:p>
        </w:tc>
      </w:tr>
      <w:tr>
        <w:trPr>
          <w:trHeight w:val="219"/>
        </w:trPr>
        <w:tc>
          <w:tcPr>
            <w:tcW w:w="20" w:type="dxa"/>
            <w:vAlign w:val="bottom"/>
            <w:tcBorders>
              <w:bottom w:val="single" w:sz="8" w:color="CCEEFF"/>
            </w:tcBorders>
          </w:tcPr>
          <w:p>
            <w:pPr>
              <w:spacing w:after="0"/>
              <w:rPr>
                <w:sz w:val="19"/>
                <w:szCs w:val="19"/>
                <w:color w:val="auto"/>
              </w:rPr>
            </w:pPr>
          </w:p>
        </w:tc>
        <w:tc>
          <w:tcPr>
            <w:tcW w:w="3920" w:type="dxa"/>
            <w:vAlign w:val="bottom"/>
            <w:tcBorders>
              <w:bottom w:val="single" w:sz="8" w:color="CCEEFF"/>
            </w:tcBorders>
            <w:gridSpan w:val="5"/>
          </w:tcPr>
          <w:p>
            <w:pPr>
              <w:spacing w:after="0"/>
              <w:rPr>
                <w:sz w:val="20"/>
                <w:szCs w:val="20"/>
                <w:color w:val="auto"/>
              </w:rPr>
            </w:pPr>
            <w:r>
              <w:rPr>
                <w:rFonts w:ascii="Arial" w:cs="Arial" w:eastAsia="Arial" w:hAnsi="Arial"/>
                <w:sz w:val="18"/>
                <w:szCs w:val="18"/>
                <w:color w:val="auto"/>
              </w:rPr>
              <w:t>Operating lease cost</w:t>
            </w:r>
          </w:p>
        </w:tc>
        <w:tc>
          <w:tcPr>
            <w:tcW w:w="39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4,630</w:t>
            </w:r>
          </w:p>
        </w:tc>
      </w:tr>
      <w:tr>
        <w:trPr>
          <w:trHeight w:val="185"/>
        </w:trPr>
        <w:tc>
          <w:tcPr>
            <w:tcW w:w="20" w:type="dxa"/>
            <w:vAlign w:val="bottom"/>
            <w:tcBorders>
              <w:bottom w:val="single" w:sz="8" w:color="CCEEFF"/>
            </w:tcBorders>
            <w:shd w:val="clear" w:color="auto" w:fill="CCEEFF"/>
          </w:tcPr>
          <w:p>
            <w:pPr>
              <w:spacing w:after="0"/>
              <w:rPr>
                <w:sz w:val="16"/>
                <w:szCs w:val="16"/>
                <w:color w:val="auto"/>
              </w:rPr>
            </w:pPr>
          </w:p>
        </w:tc>
        <w:tc>
          <w:tcPr>
            <w:tcW w:w="1780" w:type="dxa"/>
            <w:vAlign w:val="bottom"/>
            <w:tcBorders>
              <w:bottom w:val="single" w:sz="8" w:color="auto"/>
            </w:tcBorders>
            <w:gridSpan w:val="4"/>
            <w:shd w:val="clear" w:color="auto" w:fill="CCEEFF"/>
          </w:tcPr>
          <w:p>
            <w:pPr>
              <w:spacing w:after="0" w:line="165" w:lineRule="exact"/>
              <w:rPr>
                <w:sz w:val="20"/>
                <w:szCs w:val="20"/>
                <w:color w:val="auto"/>
              </w:rPr>
            </w:pPr>
            <w:r>
              <w:rPr>
                <w:rFonts w:ascii="Arial" w:cs="Arial" w:eastAsia="Arial" w:hAnsi="Arial"/>
                <w:sz w:val="18"/>
                <w:szCs w:val="18"/>
                <w:color w:val="auto"/>
                <w:w w:val="97"/>
              </w:rPr>
              <w:t>Short- term lease cost:</w:t>
            </w:r>
          </w:p>
        </w:tc>
        <w:tc>
          <w:tcPr>
            <w:tcW w:w="2140" w:type="dxa"/>
            <w:vAlign w:val="bottom"/>
            <w:tcBorders>
              <w:bottom w:val="single" w:sz="8" w:color="CCEEFF"/>
            </w:tcBorders>
            <w:shd w:val="clear" w:color="auto" w:fill="CCEEFF"/>
          </w:tcPr>
          <w:p>
            <w:pPr>
              <w:spacing w:after="0"/>
              <w:rPr>
                <w:sz w:val="16"/>
                <w:szCs w:val="16"/>
                <w:color w:val="auto"/>
              </w:rPr>
            </w:pPr>
          </w:p>
        </w:tc>
        <w:tc>
          <w:tcPr>
            <w:tcW w:w="3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spacing w:after="0"/>
              <w:rPr>
                <w:sz w:val="16"/>
                <w:szCs w:val="16"/>
                <w:color w:val="auto"/>
              </w:rPr>
            </w:pPr>
          </w:p>
        </w:tc>
      </w:tr>
      <w:tr>
        <w:trPr>
          <w:trHeight w:val="225"/>
        </w:trPr>
        <w:tc>
          <w:tcPr>
            <w:tcW w:w="20" w:type="dxa"/>
            <w:vAlign w:val="bottom"/>
          </w:tcPr>
          <w:p>
            <w:pPr>
              <w:spacing w:after="0"/>
              <w:rPr>
                <w:sz w:val="19"/>
                <w:szCs w:val="19"/>
                <w:color w:val="auto"/>
              </w:rPr>
            </w:pPr>
          </w:p>
        </w:tc>
        <w:tc>
          <w:tcPr>
            <w:tcW w:w="3920" w:type="dxa"/>
            <w:vAlign w:val="bottom"/>
            <w:gridSpan w:val="5"/>
          </w:tcPr>
          <w:p>
            <w:pPr>
              <w:ind w:left="160"/>
              <w:spacing w:after="0"/>
              <w:rPr>
                <w:sz w:val="20"/>
                <w:szCs w:val="20"/>
                <w:color w:val="auto"/>
              </w:rPr>
            </w:pPr>
            <w:r>
              <w:rPr>
                <w:rFonts w:ascii="Arial" w:cs="Arial" w:eastAsia="Arial" w:hAnsi="Arial"/>
                <w:sz w:val="18"/>
                <w:szCs w:val="18"/>
                <w:color w:val="auto"/>
              </w:rPr>
              <w:t>Short-term lease cost</w:t>
            </w:r>
          </w:p>
        </w:tc>
        <w:tc>
          <w:tcPr>
            <w:tcW w:w="402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5"/>
        </w:trPr>
        <w:tc>
          <w:tcPr>
            <w:tcW w:w="20" w:type="dxa"/>
            <w:vAlign w:val="bottom"/>
            <w:shd w:val="clear" w:color="auto" w:fill="CCEEFF"/>
          </w:tcPr>
          <w:p>
            <w:pPr>
              <w:spacing w:after="0"/>
              <w:rPr>
                <w:sz w:val="19"/>
                <w:szCs w:val="19"/>
                <w:color w:val="auto"/>
              </w:rPr>
            </w:pPr>
          </w:p>
        </w:tc>
        <w:tc>
          <w:tcPr>
            <w:tcW w:w="39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Short-term lease cost</w:t>
            </w: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5"/>
        </w:trPr>
        <w:tc>
          <w:tcPr>
            <w:tcW w:w="20" w:type="dxa"/>
            <w:vAlign w:val="bottom"/>
            <w:tcBorders>
              <w:bottom w:val="single" w:sz="8" w:color="CCEEFF"/>
            </w:tcBorders>
          </w:tcPr>
          <w:p>
            <w:pPr>
              <w:spacing w:after="0"/>
              <w:rPr>
                <w:sz w:val="19"/>
                <w:szCs w:val="19"/>
                <w:color w:val="auto"/>
              </w:rPr>
            </w:pPr>
          </w:p>
        </w:tc>
        <w:tc>
          <w:tcPr>
            <w:tcW w:w="3920" w:type="dxa"/>
            <w:vAlign w:val="bottom"/>
            <w:tcBorders>
              <w:bottom w:val="single" w:sz="8" w:color="CCEEFF"/>
            </w:tcBorders>
            <w:gridSpan w:val="5"/>
          </w:tcPr>
          <w:p>
            <w:pPr>
              <w:ind w:left="160"/>
              <w:spacing w:after="0"/>
              <w:rPr>
                <w:sz w:val="20"/>
                <w:szCs w:val="20"/>
                <w:color w:val="auto"/>
              </w:rPr>
            </w:pPr>
            <w:r>
              <w:rPr>
                <w:rFonts w:ascii="Arial" w:cs="Arial" w:eastAsia="Arial" w:hAnsi="Arial"/>
                <w:sz w:val="18"/>
                <w:szCs w:val="18"/>
                <w:color w:val="auto"/>
              </w:rPr>
              <w:t>Short-term lease cost</w:t>
            </w:r>
          </w:p>
        </w:tc>
        <w:tc>
          <w:tcPr>
            <w:tcW w:w="4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18"/>
        </w:trPr>
        <w:tc>
          <w:tcPr>
            <w:tcW w:w="20" w:type="dxa"/>
            <w:vAlign w:val="bottom"/>
            <w:shd w:val="clear" w:color="auto" w:fill="CCEEFF"/>
          </w:tcPr>
          <w:p>
            <w:pPr>
              <w:spacing w:after="0"/>
              <w:rPr>
                <w:sz w:val="19"/>
                <w:szCs w:val="19"/>
                <w:color w:val="auto"/>
              </w:rPr>
            </w:pPr>
          </w:p>
        </w:tc>
        <w:tc>
          <w:tcPr>
            <w:tcW w:w="39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166"/>
        </w:trPr>
        <w:tc>
          <w:tcPr>
            <w:tcW w:w="20" w:type="dxa"/>
            <w:vAlign w:val="bottom"/>
          </w:tcPr>
          <w:p>
            <w:pPr>
              <w:spacing w:after="0"/>
              <w:rPr>
                <w:sz w:val="14"/>
                <w:szCs w:val="14"/>
                <w:color w:val="auto"/>
              </w:rPr>
            </w:pPr>
          </w:p>
        </w:tc>
        <w:tc>
          <w:tcPr>
            <w:tcW w:w="3920" w:type="dxa"/>
            <w:vAlign w:val="bottom"/>
            <w:gridSpan w:val="5"/>
          </w:tcPr>
          <w:p>
            <w:pPr>
              <w:spacing w:after="0" w:line="165" w:lineRule="exact"/>
              <w:rPr>
                <w:sz w:val="20"/>
                <w:szCs w:val="20"/>
                <w:color w:val="auto"/>
              </w:rPr>
            </w:pPr>
            <w:r>
              <w:rPr>
                <w:rFonts w:ascii="Arial" w:cs="Arial" w:eastAsia="Arial" w:hAnsi="Arial"/>
                <w:sz w:val="18"/>
                <w:szCs w:val="18"/>
                <w:color w:val="auto"/>
              </w:rPr>
              <w:t>Finance lease cost:</w:t>
            </w:r>
          </w:p>
        </w:tc>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0"/>
        </w:trPr>
        <w:tc>
          <w:tcPr>
            <w:tcW w:w="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35"/>
        </w:trPr>
        <w:tc>
          <w:tcPr>
            <w:tcW w:w="20" w:type="dxa"/>
            <w:vAlign w:val="bottom"/>
            <w:shd w:val="clear" w:color="auto" w:fill="CCEEFF"/>
          </w:tcPr>
          <w:p>
            <w:pPr>
              <w:spacing w:after="0"/>
              <w:rPr>
                <w:sz w:val="20"/>
                <w:szCs w:val="20"/>
                <w:color w:val="auto"/>
              </w:rPr>
            </w:pPr>
          </w:p>
        </w:tc>
        <w:tc>
          <w:tcPr>
            <w:tcW w:w="39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Amortization of right-of use assets</w:t>
            </w: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25"/>
        </w:trPr>
        <w:tc>
          <w:tcPr>
            <w:tcW w:w="20" w:type="dxa"/>
            <w:vAlign w:val="bottom"/>
          </w:tcPr>
          <w:p>
            <w:pPr>
              <w:spacing w:after="0"/>
              <w:rPr>
                <w:sz w:val="19"/>
                <w:szCs w:val="19"/>
                <w:color w:val="auto"/>
              </w:rPr>
            </w:pPr>
          </w:p>
        </w:tc>
        <w:tc>
          <w:tcPr>
            <w:tcW w:w="3920" w:type="dxa"/>
            <w:vAlign w:val="bottom"/>
            <w:gridSpan w:val="5"/>
          </w:tcPr>
          <w:p>
            <w:pPr>
              <w:ind w:left="160"/>
              <w:spacing w:after="0"/>
              <w:rPr>
                <w:sz w:val="20"/>
                <w:szCs w:val="20"/>
                <w:color w:val="auto"/>
              </w:rPr>
            </w:pPr>
            <w:r>
              <w:rPr>
                <w:rFonts w:ascii="Arial" w:cs="Arial" w:eastAsia="Arial" w:hAnsi="Arial"/>
                <w:sz w:val="18"/>
                <w:szCs w:val="18"/>
                <w:color w:val="auto"/>
              </w:rPr>
              <w:t>Amortization of right-of use assets</w:t>
            </w:r>
          </w:p>
        </w:tc>
        <w:tc>
          <w:tcPr>
            <w:tcW w:w="402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5"/>
        </w:trPr>
        <w:tc>
          <w:tcPr>
            <w:tcW w:w="20" w:type="dxa"/>
            <w:vAlign w:val="bottom"/>
            <w:shd w:val="clear" w:color="auto" w:fill="CCEEFF"/>
          </w:tcPr>
          <w:p>
            <w:pPr>
              <w:spacing w:after="0"/>
              <w:rPr>
                <w:sz w:val="19"/>
                <w:szCs w:val="19"/>
                <w:color w:val="auto"/>
              </w:rPr>
            </w:pPr>
          </w:p>
        </w:tc>
        <w:tc>
          <w:tcPr>
            <w:tcW w:w="39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Interest on lease liabilities</w:t>
            </w:r>
          </w:p>
        </w:tc>
        <w:tc>
          <w:tcPr>
            <w:tcW w:w="4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65"/>
        </w:trPr>
        <w:tc>
          <w:tcPr>
            <w:tcW w:w="20" w:type="dxa"/>
            <w:vAlign w:val="bottom"/>
            <w:tcBorders>
              <w:bottom w:val="single" w:sz="8" w:color="CCEEFF"/>
            </w:tcBorders>
          </w:tcPr>
          <w:p>
            <w:pPr>
              <w:spacing w:after="0"/>
              <w:rPr>
                <w:sz w:val="23"/>
                <w:szCs w:val="23"/>
                <w:color w:val="auto"/>
              </w:rPr>
            </w:pPr>
          </w:p>
        </w:tc>
        <w:tc>
          <w:tcPr>
            <w:tcW w:w="3920" w:type="dxa"/>
            <w:vAlign w:val="bottom"/>
            <w:tcBorders>
              <w:bottom w:val="single" w:sz="8" w:color="CCEEFF"/>
            </w:tcBorders>
            <w:gridSpan w:val="5"/>
          </w:tcPr>
          <w:p>
            <w:pPr>
              <w:ind w:left="160"/>
              <w:spacing w:after="0"/>
              <w:rPr>
                <w:sz w:val="20"/>
                <w:szCs w:val="20"/>
                <w:color w:val="auto"/>
              </w:rPr>
            </w:pPr>
            <w:r>
              <w:rPr>
                <w:rFonts w:ascii="Arial" w:cs="Arial" w:eastAsia="Arial" w:hAnsi="Arial"/>
                <w:sz w:val="18"/>
                <w:szCs w:val="18"/>
                <w:color w:val="auto"/>
              </w:rPr>
              <w:t>Variable lease cost</w:t>
            </w:r>
            <w:r>
              <w:rPr>
                <w:rFonts w:ascii="Arial" w:cs="Arial" w:eastAsia="Arial" w:hAnsi="Arial"/>
                <w:sz w:val="22"/>
                <w:szCs w:val="22"/>
                <w:color w:val="auto"/>
                <w:vertAlign w:val="superscript"/>
              </w:rPr>
              <w:t>(1)</w:t>
            </w:r>
          </w:p>
        </w:tc>
        <w:tc>
          <w:tcPr>
            <w:tcW w:w="4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19"/>
        </w:trPr>
        <w:tc>
          <w:tcPr>
            <w:tcW w:w="20" w:type="dxa"/>
            <w:vAlign w:val="bottom"/>
            <w:shd w:val="clear" w:color="auto" w:fill="CCEEFF"/>
          </w:tcPr>
          <w:p>
            <w:pPr>
              <w:spacing w:after="0"/>
              <w:rPr>
                <w:sz w:val="19"/>
                <w:szCs w:val="19"/>
                <w:color w:val="auto"/>
              </w:rPr>
            </w:pPr>
          </w:p>
        </w:tc>
        <w:tc>
          <w:tcPr>
            <w:tcW w:w="39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Finance lease cost</w:t>
            </w:r>
          </w:p>
        </w:tc>
        <w:tc>
          <w:tcPr>
            <w:tcW w:w="3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18"/>
        </w:trPr>
        <w:tc>
          <w:tcPr>
            <w:tcW w:w="20" w:type="dxa"/>
            <w:vAlign w:val="bottom"/>
          </w:tcPr>
          <w:p>
            <w:pPr>
              <w:spacing w:after="0"/>
              <w:rPr>
                <w:sz w:val="19"/>
                <w:szCs w:val="19"/>
                <w:color w:val="auto"/>
              </w:rPr>
            </w:pPr>
          </w:p>
        </w:tc>
        <w:tc>
          <w:tcPr>
            <w:tcW w:w="3920" w:type="dxa"/>
            <w:vAlign w:val="bottom"/>
            <w:gridSpan w:val="5"/>
          </w:tcPr>
          <w:p>
            <w:pPr>
              <w:spacing w:after="0"/>
              <w:rPr>
                <w:sz w:val="20"/>
                <w:szCs w:val="20"/>
                <w:color w:val="auto"/>
              </w:rPr>
            </w:pPr>
            <w:r>
              <w:rPr>
                <w:rFonts w:ascii="Arial" w:cs="Arial" w:eastAsia="Arial" w:hAnsi="Arial"/>
                <w:sz w:val="18"/>
                <w:szCs w:val="18"/>
                <w:color w:val="auto"/>
              </w:rPr>
              <w:t>Total lease cost</w:t>
            </w:r>
          </w:p>
        </w:tc>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5,073</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4,945</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____________</w:t>
      </w:r>
    </w:p>
    <w:p>
      <w:pPr>
        <w:spacing w:after="0" w:line="18" w:lineRule="exact"/>
        <w:rPr>
          <w:sz w:val="20"/>
          <w:szCs w:val="20"/>
          <w:color w:val="auto"/>
        </w:rPr>
      </w:pPr>
    </w:p>
    <w:p>
      <w:pPr>
        <w:ind w:left="240" w:hanging="234"/>
        <w:spacing w:after="0"/>
        <w:tabs>
          <w:tab w:leader="none" w:pos="2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Variable lease cost primarily consists of common area maintenance, such as cleaning and repairs.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3" w:lineRule="exact"/>
        <w:rPr>
          <w:rFonts w:ascii="Arial" w:cs="Arial" w:eastAsia="Arial" w:hAnsi="Arial"/>
          <w:sz w:val="16"/>
          <w:szCs w:val="16"/>
          <w:color w:val="auto"/>
        </w:rPr>
      </w:pPr>
    </w:p>
    <w:p>
      <w:pPr>
        <w:ind w:left="5520"/>
        <w:spacing w:after="0"/>
        <w:rPr>
          <w:rFonts w:ascii="Arial" w:cs="Arial" w:eastAsia="Arial" w:hAnsi="Arial"/>
          <w:sz w:val="16"/>
          <w:szCs w:val="16"/>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80"/>
          </w:cols>
          <w:pgMar w:left="320" w:top="412" w:right="49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are: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740" w:type="dxa"/>
            <w:vAlign w:val="bottom"/>
            <w:tcBorders>
              <w:bottom w:val="single" w:sz="8" w:color="auto"/>
            </w:tcBorders>
          </w:tcPr>
          <w:p>
            <w:pPr>
              <w:spacing w:after="0"/>
              <w:rPr>
                <w:sz w:val="18"/>
                <w:szCs w:val="18"/>
                <w:color w:val="auto"/>
              </w:rPr>
            </w:pPr>
          </w:p>
        </w:tc>
      </w:tr>
      <w:tr>
        <w:trPr>
          <w:trHeight w:val="165"/>
        </w:trPr>
        <w:tc>
          <w:tcPr>
            <w:tcW w:w="20" w:type="dxa"/>
            <w:vAlign w:val="bottom"/>
          </w:tcPr>
          <w:p>
            <w:pPr>
              <w:spacing w:after="0"/>
              <w:rPr>
                <w:sz w:val="14"/>
                <w:szCs w:val="14"/>
                <w:color w:val="auto"/>
              </w:rPr>
            </w:pPr>
          </w:p>
        </w:tc>
        <w:tc>
          <w:tcPr>
            <w:tcW w:w="3380" w:type="dxa"/>
            <w:vAlign w:val="bottom"/>
            <w:gridSpan w:val="2"/>
          </w:tcPr>
          <w:p>
            <w:pPr>
              <w:spacing w:after="0" w:line="165" w:lineRule="exact"/>
              <w:rPr>
                <w:sz w:val="20"/>
                <w:szCs w:val="20"/>
                <w:color w:val="auto"/>
              </w:rPr>
            </w:pPr>
            <w:r>
              <w:rPr>
                <w:rFonts w:ascii="Arial" w:cs="Arial" w:eastAsia="Arial" w:hAnsi="Arial"/>
                <w:sz w:val="16"/>
                <w:szCs w:val="16"/>
                <w:b w:val="1"/>
                <w:bCs w:val="1"/>
                <w:color w:val="auto"/>
              </w:rPr>
              <w:t>(in thousands)</w:t>
            </w:r>
          </w:p>
        </w:tc>
        <w:tc>
          <w:tcPr>
            <w:tcW w:w="4520" w:type="dxa"/>
            <w:vAlign w:val="bottom"/>
            <w:gridSpan w:val="2"/>
          </w:tcPr>
          <w:p>
            <w:pPr>
              <w:ind w:left="20"/>
              <w:spacing w:after="0" w:line="165" w:lineRule="exact"/>
              <w:rPr>
                <w:sz w:val="20"/>
                <w:szCs w:val="20"/>
                <w:color w:val="auto"/>
              </w:rPr>
            </w:pPr>
            <w:r>
              <w:rPr>
                <w:rFonts w:ascii="Arial" w:cs="Arial" w:eastAsia="Arial" w:hAnsi="Arial"/>
                <w:sz w:val="16"/>
                <w:szCs w:val="16"/>
                <w:b w:val="1"/>
                <w:bCs w:val="1"/>
                <w:color w:val="auto"/>
              </w:rPr>
              <w:t>Balance Sheet Location</w:t>
            </w:r>
          </w:p>
        </w:tc>
        <w:tc>
          <w:tcPr>
            <w:tcW w:w="140" w:type="dxa"/>
            <w:vAlign w:val="bottom"/>
          </w:tcPr>
          <w:p>
            <w:pPr>
              <w:spacing w:after="0"/>
              <w:rPr>
                <w:sz w:val="14"/>
                <w:szCs w:val="14"/>
                <w:color w:val="auto"/>
              </w:rPr>
            </w:pPr>
          </w:p>
        </w:tc>
        <w:tc>
          <w:tcPr>
            <w:tcW w:w="1420" w:type="dxa"/>
            <w:vAlign w:val="bottom"/>
            <w:gridSpan w:val="2"/>
          </w:tcPr>
          <w:p>
            <w:pPr>
              <w:ind w:left="20"/>
              <w:spacing w:after="0" w:line="165" w:lineRule="exact"/>
              <w:rPr>
                <w:sz w:val="20"/>
                <w:szCs w:val="20"/>
                <w:color w:val="auto"/>
              </w:rPr>
            </w:pPr>
            <w:r>
              <w:rPr>
                <w:rFonts w:ascii="Arial" w:cs="Arial" w:eastAsia="Arial" w:hAnsi="Arial"/>
                <w:sz w:val="16"/>
                <w:szCs w:val="16"/>
                <w:b w:val="1"/>
                <w:bCs w:val="1"/>
                <w:color w:val="auto"/>
              </w:rPr>
              <w:t>March 29, 2025</w:t>
            </w:r>
          </w:p>
        </w:tc>
        <w:tc>
          <w:tcPr>
            <w:tcW w:w="1600" w:type="dxa"/>
            <w:vAlign w:val="bottom"/>
            <w:gridSpan w:val="2"/>
          </w:tcPr>
          <w:p>
            <w:pPr>
              <w:jc w:val="right"/>
              <w:spacing w:after="0" w:line="165" w:lineRule="exact"/>
              <w:rPr>
                <w:sz w:val="20"/>
                <w:szCs w:val="20"/>
                <w:color w:val="auto"/>
              </w:rPr>
            </w:pPr>
            <w:r>
              <w:rPr>
                <w:rFonts w:ascii="Arial" w:cs="Arial" w:eastAsia="Arial" w:hAnsi="Arial"/>
                <w:sz w:val="16"/>
                <w:szCs w:val="16"/>
                <w:b w:val="1"/>
                <w:bCs w:val="1"/>
                <w:color w:val="auto"/>
              </w:rPr>
              <w:t>December 31, 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338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b w:val="1"/>
                <w:bCs w:val="1"/>
                <w:color w:val="auto"/>
              </w:rPr>
              <w:t>Assets</w:t>
            </w:r>
          </w:p>
        </w:tc>
        <w:tc>
          <w:tcPr>
            <w:tcW w:w="4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4520" w:type="dxa"/>
            <w:vAlign w:val="bottom"/>
            <w:gridSpan w:val="2"/>
          </w:tcPr>
          <w:p>
            <w:pPr>
              <w:ind w:left="2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121,131</w:t>
            </w:r>
          </w:p>
        </w:tc>
        <w:tc>
          <w:tcPr>
            <w:tcW w:w="100" w:type="dxa"/>
            <w:vAlign w:val="bottom"/>
          </w:tcPr>
          <w:p>
            <w:pPr>
              <w:spacing w:after="0"/>
              <w:rPr>
                <w:sz w:val="19"/>
                <w:szCs w:val="19"/>
                <w:color w:val="auto"/>
              </w:rPr>
            </w:pPr>
          </w:p>
        </w:tc>
        <w:tc>
          <w:tcPr>
            <w:tcW w:w="860" w:type="dxa"/>
            <w:vAlign w:val="bottom"/>
          </w:tcPr>
          <w:p>
            <w:pPr>
              <w:jc w:val="right"/>
              <w:ind w:right="653"/>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123,975</w:t>
            </w:r>
          </w:p>
        </w:tc>
      </w:tr>
      <w:tr>
        <w:trPr>
          <w:trHeight w:val="225"/>
        </w:trPr>
        <w:tc>
          <w:tcPr>
            <w:tcW w:w="20" w:type="dxa"/>
            <w:vAlign w:val="bottom"/>
            <w:shd w:val="clear" w:color="auto" w:fill="CCEEFF"/>
          </w:tcPr>
          <w:p>
            <w:pPr>
              <w:spacing w:after="0"/>
              <w:rPr>
                <w:sz w:val="19"/>
                <w:szCs w:val="19"/>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leases, net</w:t>
            </w:r>
          </w:p>
        </w:tc>
        <w:tc>
          <w:tcPr>
            <w:tcW w:w="4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3,828</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3,817</w:t>
            </w:r>
          </w:p>
        </w:tc>
      </w:tr>
      <w:tr>
        <w:trPr>
          <w:trHeight w:val="218"/>
        </w:trPr>
        <w:tc>
          <w:tcPr>
            <w:tcW w:w="2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Total lease assets</w:t>
            </w:r>
          </w:p>
        </w:tc>
        <w:tc>
          <w:tcPr>
            <w:tcW w:w="4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124,959</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53"/>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127,792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4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25"/>
        </w:trPr>
        <w:tc>
          <w:tcPr>
            <w:tcW w:w="2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4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45"/>
        </w:trPr>
        <w:tc>
          <w:tcPr>
            <w:tcW w:w="20" w:type="dxa"/>
            <w:vAlign w:val="bottom"/>
            <w:tcBorders>
              <w:bottom w:val="single" w:sz="8" w:color="CCEEFF"/>
            </w:tcBorders>
            <w:shd w:val="clear" w:color="auto" w:fill="CCEEFF"/>
          </w:tcPr>
          <w:p>
            <w:pPr>
              <w:spacing w:after="0"/>
              <w:rPr>
                <w:sz w:val="21"/>
                <w:szCs w:val="21"/>
                <w:color w:val="auto"/>
              </w:rPr>
            </w:pPr>
          </w:p>
        </w:tc>
        <w:tc>
          <w:tcPr>
            <w:tcW w:w="3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4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25"/>
        </w:trPr>
        <w:tc>
          <w:tcPr>
            <w:tcW w:w="2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Operating lease liabilities</w:t>
            </w:r>
          </w:p>
        </w:tc>
        <w:tc>
          <w:tcPr>
            <w:tcW w:w="4520" w:type="dxa"/>
            <w:vAlign w:val="bottom"/>
            <w:gridSpan w:val="2"/>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3,941</w:t>
            </w:r>
          </w:p>
        </w:tc>
        <w:tc>
          <w:tcPr>
            <w:tcW w:w="100" w:type="dxa"/>
            <w:vAlign w:val="bottom"/>
          </w:tcPr>
          <w:p>
            <w:pPr>
              <w:spacing w:after="0"/>
              <w:rPr>
                <w:sz w:val="19"/>
                <w:szCs w:val="19"/>
                <w:color w:val="auto"/>
              </w:rPr>
            </w:pPr>
          </w:p>
        </w:tc>
        <w:tc>
          <w:tcPr>
            <w:tcW w:w="860" w:type="dxa"/>
            <w:vAlign w:val="bottom"/>
          </w:tcPr>
          <w:p>
            <w:pPr>
              <w:jc w:val="right"/>
              <w:ind w:right="653"/>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4,125</w:t>
            </w:r>
          </w:p>
        </w:tc>
      </w:tr>
      <w:tr>
        <w:trPr>
          <w:trHeight w:val="225"/>
        </w:trPr>
        <w:tc>
          <w:tcPr>
            <w:tcW w:w="20" w:type="dxa"/>
            <w:vAlign w:val="bottom"/>
            <w:shd w:val="clear" w:color="auto" w:fill="CCEEFF"/>
          </w:tcPr>
          <w:p>
            <w:pPr>
              <w:spacing w:after="0"/>
              <w:rPr>
                <w:sz w:val="19"/>
                <w:szCs w:val="19"/>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lease liabilities</w:t>
            </w:r>
          </w:p>
        </w:tc>
        <w:tc>
          <w:tcPr>
            <w:tcW w:w="4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r>
      <w:tr>
        <w:trPr>
          <w:trHeight w:val="225"/>
        </w:trPr>
        <w:tc>
          <w:tcPr>
            <w:tcW w:w="20" w:type="dxa"/>
            <w:vAlign w:val="bottom"/>
          </w:tcPr>
          <w:p>
            <w:pPr>
              <w:spacing w:after="0"/>
              <w:rPr>
                <w:sz w:val="19"/>
                <w:szCs w:val="19"/>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Long-term:</w:t>
            </w:r>
          </w:p>
        </w:tc>
        <w:tc>
          <w:tcPr>
            <w:tcW w:w="4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5"/>
        </w:trPr>
        <w:tc>
          <w:tcPr>
            <w:tcW w:w="20" w:type="dxa"/>
            <w:vAlign w:val="bottom"/>
            <w:shd w:val="clear" w:color="auto" w:fill="CCEEFF"/>
          </w:tcPr>
          <w:p>
            <w:pPr>
              <w:spacing w:after="0"/>
              <w:rPr>
                <w:sz w:val="19"/>
                <w:szCs w:val="19"/>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4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72,147</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73,613</w:t>
            </w:r>
          </w:p>
        </w:tc>
      </w:tr>
      <w:tr>
        <w:trPr>
          <w:trHeight w:val="225"/>
        </w:trPr>
        <w:tc>
          <w:tcPr>
            <w:tcW w:w="20" w:type="dxa"/>
            <w:vAlign w:val="bottom"/>
            <w:tcBorders>
              <w:bottom w:val="single" w:sz="8" w:color="CCEEFF"/>
            </w:tcBorders>
          </w:tcPr>
          <w:p>
            <w:pPr>
              <w:spacing w:after="0"/>
              <w:rPr>
                <w:sz w:val="19"/>
                <w:szCs w:val="19"/>
                <w:color w:val="auto"/>
              </w:rPr>
            </w:pPr>
          </w:p>
        </w:tc>
        <w:tc>
          <w:tcPr>
            <w:tcW w:w="33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Finance lease liabilities</w:t>
            </w:r>
          </w:p>
        </w:tc>
        <w:tc>
          <w:tcPr>
            <w:tcW w:w="4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Finance lease obligations and other long-term liabilities</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2,853</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2,812</w:t>
            </w: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3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4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79,770</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53"/>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81,401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schedule by year of the maturities of lease liabilities with original terms in excess of one year, as of March 29, 2025:</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4"/>
          </w:tcPr>
          <w:p>
            <w:pPr>
              <w:jc w:val="right"/>
              <w:ind w:right="993"/>
              <w:spacing w:after="0"/>
              <w:rPr>
                <w:sz w:val="20"/>
                <w:szCs w:val="20"/>
                <w:color w:val="auto"/>
              </w:rPr>
            </w:pPr>
            <w:r>
              <w:rPr>
                <w:rFonts w:ascii="Arial" w:cs="Arial" w:eastAsia="Arial" w:hAnsi="Arial"/>
                <w:sz w:val="16"/>
                <w:szCs w:val="16"/>
                <w:b w:val="1"/>
                <w:bCs w:val="1"/>
                <w:color w:val="auto"/>
              </w:rPr>
              <w:t>March 29, 2025</w:t>
            </w:r>
          </w:p>
        </w:tc>
      </w:tr>
      <w:tr>
        <w:trPr>
          <w:trHeight w:val="166"/>
        </w:trPr>
        <w:tc>
          <w:tcPr>
            <w:tcW w:w="20" w:type="dxa"/>
            <w:vAlign w:val="bottom"/>
          </w:tcPr>
          <w:p>
            <w:pPr>
              <w:spacing w:after="0"/>
              <w:rPr>
                <w:sz w:val="14"/>
                <w:szCs w:val="14"/>
                <w:color w:val="auto"/>
              </w:rPr>
            </w:pPr>
          </w:p>
        </w:tc>
        <w:tc>
          <w:tcPr>
            <w:tcW w:w="7900" w:type="dxa"/>
            <w:vAlign w:val="bottom"/>
            <w:gridSpan w:val="2"/>
          </w:tcPr>
          <w:p>
            <w:pPr>
              <w:spacing w:after="0" w:line="165" w:lineRule="exact"/>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4"/>
                <w:szCs w:val="14"/>
                <w:color w:val="auto"/>
              </w:rPr>
            </w:pPr>
          </w:p>
        </w:tc>
        <w:tc>
          <w:tcPr>
            <w:tcW w:w="1580" w:type="dxa"/>
            <w:vAlign w:val="bottom"/>
            <w:gridSpan w:val="2"/>
          </w:tcPr>
          <w:p>
            <w:pPr>
              <w:spacing w:after="0" w:line="165" w:lineRule="exact"/>
              <w:rPr>
                <w:sz w:val="20"/>
                <w:szCs w:val="20"/>
                <w:color w:val="auto"/>
              </w:rPr>
            </w:pPr>
            <w:r>
              <w:rPr>
                <w:rFonts w:ascii="Arial" w:cs="Arial" w:eastAsia="Arial" w:hAnsi="Arial"/>
                <w:sz w:val="16"/>
                <w:szCs w:val="16"/>
                <w:b w:val="1"/>
                <w:bCs w:val="1"/>
                <w:color w:val="auto"/>
              </w:rPr>
              <w:t>Operating Leases</w:t>
            </w:r>
          </w:p>
        </w:tc>
        <w:tc>
          <w:tcPr>
            <w:tcW w:w="160" w:type="dxa"/>
            <w:vAlign w:val="bottom"/>
          </w:tcPr>
          <w:p>
            <w:pPr>
              <w:spacing w:after="0"/>
              <w:rPr>
                <w:sz w:val="14"/>
                <w:szCs w:val="14"/>
                <w:color w:val="auto"/>
              </w:rPr>
            </w:pPr>
          </w:p>
        </w:tc>
        <w:tc>
          <w:tcPr>
            <w:tcW w:w="1440" w:type="dxa"/>
            <w:vAlign w:val="bottom"/>
          </w:tcPr>
          <w:p>
            <w:pPr>
              <w:jc w:val="right"/>
              <w:ind w:right="113"/>
              <w:spacing w:after="0" w:line="165" w:lineRule="exact"/>
              <w:rPr>
                <w:sz w:val="20"/>
                <w:szCs w:val="20"/>
                <w:color w:val="auto"/>
              </w:rPr>
            </w:pPr>
            <w:r>
              <w:rPr>
                <w:rFonts w:ascii="Arial" w:cs="Arial" w:eastAsia="Arial" w:hAnsi="Arial"/>
                <w:sz w:val="16"/>
                <w:szCs w:val="16"/>
                <w:b w:val="1"/>
                <w:bCs w:val="1"/>
                <w:color w:val="auto"/>
              </w:rPr>
              <w:t>Finance Leases</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68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2025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r>
      <w:tr>
        <w:trPr>
          <w:trHeight w:val="225"/>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6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8,311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1,102</w:t>
            </w:r>
          </w:p>
        </w:tc>
      </w:tr>
      <w:tr>
        <w:trPr>
          <w:trHeight w:val="225"/>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6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r>
      <w:tr>
        <w:trPr>
          <w:trHeight w:val="225"/>
        </w:trPr>
        <w:tc>
          <w:tcPr>
            <w:tcW w:w="1120" w:type="dxa"/>
            <w:vAlign w:val="bottom"/>
            <w:gridSpan w:val="2"/>
          </w:tcPr>
          <w:p>
            <w:pPr>
              <w:ind w:left="20"/>
              <w:spacing w:after="0"/>
              <w:rPr>
                <w:sz w:val="20"/>
                <w:szCs w:val="20"/>
                <w:color w:val="auto"/>
              </w:rPr>
            </w:pPr>
            <w:r>
              <w:rPr>
                <w:rFonts w:ascii="Arial" w:cs="Arial" w:eastAsia="Arial" w:hAnsi="Arial"/>
                <w:sz w:val="18"/>
                <w:szCs w:val="18"/>
                <w:color w:val="auto"/>
              </w:rPr>
              <w:t>2028</w:t>
            </w:r>
          </w:p>
        </w:tc>
        <w:tc>
          <w:tcPr>
            <w:tcW w:w="6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8,173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1,030</w:t>
            </w:r>
          </w:p>
        </w:tc>
      </w:tr>
      <w:tr>
        <w:trPr>
          <w:trHeight w:val="225"/>
        </w:trPr>
        <w:tc>
          <w:tcPr>
            <w:tcW w:w="1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6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25"/>
        </w:trPr>
        <w:tc>
          <w:tcPr>
            <w:tcW w:w="20" w:type="dxa"/>
            <w:vAlign w:val="bottom"/>
            <w:tcBorders>
              <w:bottom w:val="single" w:sz="8" w:color="CCEEFF"/>
            </w:tcBorders>
          </w:tcPr>
          <w:p>
            <w:pPr>
              <w:spacing w:after="0"/>
              <w:rPr>
                <w:sz w:val="19"/>
                <w:szCs w:val="19"/>
                <w:color w:val="auto"/>
              </w:rPr>
            </w:pPr>
          </w:p>
        </w:tc>
        <w:tc>
          <w:tcPr>
            <w:tcW w:w="79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80,466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9"/>
        </w:trPr>
        <w:tc>
          <w:tcPr>
            <w:tcW w:w="20" w:type="dxa"/>
            <w:vAlign w:val="bottom"/>
            <w:shd w:val="clear" w:color="auto" w:fill="CCEEFF"/>
          </w:tcPr>
          <w:p>
            <w:pPr>
              <w:spacing w:after="0"/>
              <w:rPr>
                <w:sz w:val="19"/>
                <w:szCs w:val="19"/>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undiscounted future minimum lease payments</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3,977</w:t>
            </w:r>
          </w:p>
        </w:tc>
      </w:tr>
      <w:tr>
        <w:trPr>
          <w:trHeight w:val="225"/>
        </w:trPr>
        <w:tc>
          <w:tcPr>
            <w:tcW w:w="20" w:type="dxa"/>
            <w:vAlign w:val="bottom"/>
            <w:tcBorders>
              <w:bottom w:val="single" w:sz="8" w:color="CCEEFF"/>
            </w:tcBorders>
          </w:tcPr>
          <w:p>
            <w:pPr>
              <w:spacing w:after="0"/>
              <w:rPr>
                <w:sz w:val="19"/>
                <w:szCs w:val="19"/>
                <w:color w:val="auto"/>
              </w:rPr>
            </w:pPr>
          </w:p>
        </w:tc>
        <w:tc>
          <w:tcPr>
            <w:tcW w:w="79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imputed interest</w:t>
            </w:r>
          </w:p>
        </w:tc>
        <w:tc>
          <w:tcPr>
            <w:tcW w:w="1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7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discounted future minimum lease payments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76,088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Weighted average remaining lease terms and weighted average discount rates were: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20" w:type="dxa"/>
            <w:vAlign w:val="bottom"/>
          </w:tcPr>
          <w:p>
            <w:pPr>
              <w:spacing w:after="0"/>
              <w:rPr>
                <w:sz w:val="18"/>
                <w:szCs w:val="18"/>
                <w:color w:val="auto"/>
              </w:rPr>
            </w:pPr>
          </w:p>
        </w:tc>
        <w:tc>
          <w:tcPr>
            <w:tcW w:w="4440" w:type="dxa"/>
            <w:vAlign w:val="bottom"/>
            <w:tcBorders>
              <w:bottom w:val="single" w:sz="8" w:color="auto"/>
            </w:tcBorders>
            <w:gridSpan w:val="3"/>
          </w:tcPr>
          <w:p>
            <w:pPr>
              <w:ind w:left="1640"/>
              <w:spacing w:after="0"/>
              <w:rPr>
                <w:sz w:val="20"/>
                <w:szCs w:val="20"/>
                <w:color w:val="auto"/>
              </w:rPr>
            </w:pPr>
            <w:r>
              <w:rPr>
                <w:rFonts w:ascii="Arial" w:cs="Arial" w:eastAsia="Arial" w:hAnsi="Arial"/>
                <w:sz w:val="16"/>
                <w:szCs w:val="16"/>
                <w:b w:val="1"/>
                <w:bCs w:val="1"/>
                <w:color w:val="auto"/>
              </w:rPr>
              <w:t>March 29, 2025</w:t>
            </w:r>
          </w:p>
        </w:tc>
      </w:tr>
      <w:tr>
        <w:trPr>
          <w:trHeight w:val="205"/>
        </w:trPr>
        <w:tc>
          <w:tcPr>
            <w:tcW w:w="6520" w:type="dxa"/>
            <w:vAlign w:val="bottom"/>
          </w:tcPr>
          <w:p>
            <w:pPr>
              <w:spacing w:after="0"/>
              <w:rPr>
                <w:sz w:val="17"/>
                <w:szCs w:val="17"/>
                <w:color w:val="auto"/>
              </w:rPr>
            </w:pPr>
          </w:p>
        </w:tc>
        <w:tc>
          <w:tcPr>
            <w:tcW w:w="2120" w:type="dxa"/>
            <w:vAlign w:val="bottom"/>
            <w:gridSpan w:val="2"/>
          </w:tcPr>
          <w:p>
            <w:pPr>
              <w:ind w:left="340"/>
              <w:spacing w:after="0"/>
              <w:rPr>
                <w:sz w:val="20"/>
                <w:szCs w:val="20"/>
                <w:color w:val="auto"/>
              </w:rPr>
            </w:pPr>
            <w:r>
              <w:rPr>
                <w:rFonts w:ascii="Arial" w:cs="Arial" w:eastAsia="Arial" w:hAnsi="Arial"/>
                <w:sz w:val="16"/>
                <w:szCs w:val="16"/>
                <w:b w:val="1"/>
                <w:bCs w:val="1"/>
                <w:color w:val="auto"/>
              </w:rPr>
              <w:t>Operating Leases</w:t>
            </w:r>
          </w:p>
        </w:tc>
        <w:tc>
          <w:tcPr>
            <w:tcW w:w="2320" w:type="dxa"/>
            <w:vAlign w:val="bottom"/>
          </w:tcPr>
          <w:p>
            <w:pPr>
              <w:ind w:left="560"/>
              <w:spacing w:after="0"/>
              <w:rPr>
                <w:sz w:val="20"/>
                <w:szCs w:val="20"/>
                <w:color w:val="auto"/>
              </w:rPr>
            </w:pPr>
            <w:r>
              <w:rPr>
                <w:rFonts w:ascii="Arial" w:cs="Arial" w:eastAsia="Arial" w:hAnsi="Arial"/>
                <w:sz w:val="16"/>
                <w:szCs w:val="16"/>
                <w:b w:val="1"/>
                <w:bCs w:val="1"/>
                <w:color w:val="auto"/>
              </w:rPr>
              <w:t>Finance Leases</w:t>
            </w:r>
          </w:p>
        </w:tc>
      </w:tr>
      <w:tr>
        <w:trPr>
          <w:trHeight w:val="218"/>
        </w:trPr>
        <w:tc>
          <w:tcPr>
            <w:tcW w:w="6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(years)</w:t>
            </w:r>
          </w:p>
        </w:tc>
        <w:tc>
          <w:tcPr>
            <w:tcW w:w="2020" w:type="dxa"/>
            <w:vAlign w:val="bottom"/>
            <w:tcBorders>
              <w:top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rPr>
              <w:t>13.1</w:t>
            </w:r>
          </w:p>
        </w:tc>
        <w:tc>
          <w:tcPr>
            <w:tcW w:w="10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auto"/>
            </w:tcBorders>
            <w:shd w:val="clear" w:color="auto" w:fill="CCEEFF"/>
          </w:tcPr>
          <w:p>
            <w:pPr>
              <w:jc w:val="right"/>
              <w:ind w:right="955"/>
              <w:spacing w:after="0"/>
              <w:rPr>
                <w:sz w:val="20"/>
                <w:szCs w:val="20"/>
                <w:color w:val="auto"/>
              </w:rPr>
            </w:pPr>
            <w:r>
              <w:rPr>
                <w:rFonts w:ascii="Arial" w:cs="Arial" w:eastAsia="Arial" w:hAnsi="Arial"/>
                <w:sz w:val="18"/>
                <w:szCs w:val="18"/>
                <w:color w:val="auto"/>
              </w:rPr>
              <w:t>3.7</w:t>
            </w:r>
          </w:p>
        </w:tc>
      </w:tr>
      <w:tr>
        <w:trPr>
          <w:trHeight w:val="232"/>
        </w:trPr>
        <w:tc>
          <w:tcPr>
            <w:tcW w:w="652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2020" w:type="dxa"/>
            <w:vAlign w:val="bottom"/>
          </w:tcPr>
          <w:p>
            <w:pPr>
              <w:jc w:val="right"/>
              <w:ind w:right="736"/>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2320" w:type="dxa"/>
            <w:vAlign w:val="bottom"/>
          </w:tcPr>
          <w:p>
            <w:pPr>
              <w:jc w:val="right"/>
              <w:ind w:right="875"/>
              <w:spacing w:after="0"/>
              <w:rPr>
                <w:sz w:val="20"/>
                <w:szCs w:val="20"/>
                <w:color w:val="auto"/>
              </w:rPr>
            </w:pPr>
            <w:r>
              <w:rPr>
                <w:rFonts w:ascii="Arial" w:cs="Arial" w:eastAsia="Arial" w:hAnsi="Arial"/>
                <w:sz w:val="18"/>
                <w:szCs w:val="18"/>
                <w:color w:val="auto"/>
              </w:rPr>
              <w:t>4.2%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24" w:name="page25"/>
    <w:bookmarkEnd w:id="24"/>
    <w:p>
      <w:pPr>
        <w:ind w:left="100"/>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87630</wp:posOffset>
            </wp:positionV>
            <wp:extent cx="71348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cash flow information related to leases are: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7"/>
          </w:tcPr>
          <w:p>
            <w:pPr>
              <w:jc w:val="right"/>
              <w:ind w:right="740"/>
              <w:spacing w:after="0"/>
              <w:rPr>
                <w:sz w:val="20"/>
                <w:szCs w:val="20"/>
                <w:color w:val="auto"/>
              </w:rPr>
            </w:pPr>
            <w:r>
              <w:rPr>
                <w:rFonts w:ascii="Arial" w:cs="Arial" w:eastAsia="Arial" w:hAnsi="Arial"/>
                <w:sz w:val="16"/>
                <w:szCs w:val="16"/>
                <w:b w:val="1"/>
                <w:bCs w:val="1"/>
                <w:color w:val="auto"/>
                <w:w w:val="98"/>
              </w:rPr>
              <w:t>Three Months Ended</w:t>
            </w:r>
          </w:p>
        </w:tc>
      </w:tr>
      <w:tr>
        <w:trPr>
          <w:trHeight w:val="166"/>
        </w:trPr>
        <w:tc>
          <w:tcPr>
            <w:tcW w:w="120" w:type="dxa"/>
            <w:vAlign w:val="bottom"/>
          </w:tcPr>
          <w:p>
            <w:pPr>
              <w:spacing w:after="0"/>
              <w:rPr>
                <w:sz w:val="14"/>
                <w:szCs w:val="14"/>
                <w:color w:val="auto"/>
              </w:rPr>
            </w:pPr>
          </w:p>
        </w:tc>
        <w:tc>
          <w:tcPr>
            <w:tcW w:w="7520" w:type="dxa"/>
            <w:vAlign w:val="bottom"/>
            <w:gridSpan w:val="2"/>
          </w:tcPr>
          <w:p>
            <w:pPr>
              <w:spacing w:after="0" w:line="165" w:lineRule="exact"/>
              <w:rPr>
                <w:sz w:val="20"/>
                <w:szCs w:val="20"/>
                <w:color w:val="auto"/>
              </w:rPr>
            </w:pPr>
            <w:r>
              <w:rPr>
                <w:rFonts w:ascii="Arial" w:cs="Arial" w:eastAsia="Arial" w:hAnsi="Arial"/>
                <w:sz w:val="16"/>
                <w:szCs w:val="16"/>
                <w:b w:val="1"/>
                <w:bCs w:val="1"/>
                <w:color w:val="auto"/>
              </w:rPr>
              <w:t>(in thousands)</w:t>
            </w:r>
          </w:p>
        </w:tc>
        <w:tc>
          <w:tcPr>
            <w:tcW w:w="500" w:type="dxa"/>
            <w:vAlign w:val="bottom"/>
          </w:tcPr>
          <w:p>
            <w:pPr>
              <w:spacing w:after="0"/>
              <w:rPr>
                <w:sz w:val="14"/>
                <w:szCs w:val="14"/>
                <w:color w:val="auto"/>
              </w:rPr>
            </w:pPr>
          </w:p>
        </w:tc>
        <w:tc>
          <w:tcPr>
            <w:tcW w:w="1560" w:type="dxa"/>
            <w:vAlign w:val="bottom"/>
            <w:gridSpan w:val="5"/>
          </w:tcPr>
          <w:p>
            <w:pPr>
              <w:ind w:left="160"/>
              <w:spacing w:after="0" w:line="165" w:lineRule="exact"/>
              <w:rPr>
                <w:sz w:val="20"/>
                <w:szCs w:val="20"/>
                <w:color w:val="auto"/>
              </w:rPr>
            </w:pPr>
            <w:r>
              <w:rPr>
                <w:rFonts w:ascii="Arial" w:cs="Arial" w:eastAsia="Arial" w:hAnsi="Arial"/>
                <w:sz w:val="16"/>
                <w:szCs w:val="16"/>
                <w:b w:val="1"/>
                <w:bCs w:val="1"/>
                <w:color w:val="auto"/>
              </w:rPr>
              <w:t>March 29, 2025</w:t>
            </w:r>
          </w:p>
        </w:tc>
        <w:tc>
          <w:tcPr>
            <w:tcW w:w="140" w:type="dxa"/>
            <w:vAlign w:val="bottom"/>
          </w:tcPr>
          <w:p>
            <w:pPr>
              <w:spacing w:after="0"/>
              <w:rPr>
                <w:sz w:val="14"/>
                <w:szCs w:val="14"/>
                <w:color w:val="auto"/>
              </w:rPr>
            </w:pPr>
          </w:p>
        </w:tc>
        <w:tc>
          <w:tcPr>
            <w:tcW w:w="1360" w:type="dxa"/>
            <w:vAlign w:val="bottom"/>
            <w:gridSpan w:val="2"/>
          </w:tcPr>
          <w:p>
            <w:pPr>
              <w:jc w:val="right"/>
              <w:ind w:right="180"/>
              <w:spacing w:after="0" w:line="165" w:lineRule="exact"/>
              <w:rPr>
                <w:sz w:val="20"/>
                <w:szCs w:val="20"/>
                <w:color w:val="auto"/>
              </w:rPr>
            </w:pPr>
            <w:r>
              <w:rPr>
                <w:rFonts w:ascii="Arial" w:cs="Arial" w:eastAsia="Arial" w:hAnsi="Arial"/>
                <w:sz w:val="16"/>
                <w:szCs w:val="16"/>
                <w:b w:val="1"/>
                <w:bCs w:val="1"/>
                <w:color w:val="auto"/>
              </w:rPr>
              <w:t>March 30, 2024</w:t>
            </w:r>
          </w:p>
        </w:tc>
      </w:tr>
      <w:tr>
        <w:trPr>
          <w:trHeight w:val="20"/>
        </w:trPr>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18"/>
        </w:trPr>
        <w:tc>
          <w:tcPr>
            <w:tcW w:w="120" w:type="dxa"/>
            <w:vAlign w:val="bottom"/>
            <w:tcBorders>
              <w:right w:val="single" w:sz="8" w:color="CCEEFF"/>
            </w:tcBorders>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operating lease liabilities</w:t>
            </w: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w w:val="99"/>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2,171</w:t>
            </w:r>
          </w:p>
        </w:tc>
      </w:tr>
      <w:tr>
        <w:trPr>
          <w:trHeight w:val="232"/>
        </w:trPr>
        <w:tc>
          <w:tcPr>
            <w:tcW w:w="120" w:type="dxa"/>
            <w:vAlign w:val="bottom"/>
          </w:tcPr>
          <w:p>
            <w:pPr>
              <w:spacing w:after="0"/>
              <w:rPr>
                <w:sz w:val="20"/>
                <w:szCs w:val="20"/>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Operating lease right-of-use assets obtained in exchange for lease liabilities</w:t>
            </w:r>
          </w:p>
        </w:tc>
        <w:tc>
          <w:tcPr>
            <w:tcW w:w="500" w:type="dxa"/>
            <w:vAlign w:val="bottom"/>
          </w:tcPr>
          <w:p>
            <w:pPr>
              <w:spacing w:after="0"/>
              <w:rPr>
                <w:sz w:val="20"/>
                <w:szCs w:val="20"/>
                <w:color w:val="auto"/>
              </w:rPr>
            </w:pPr>
          </w:p>
        </w:tc>
        <w:tc>
          <w:tcPr>
            <w:tcW w:w="740" w:type="dxa"/>
            <w:vAlign w:val="bottom"/>
          </w:tcPr>
          <w:p>
            <w:pPr>
              <w:jc w:val="right"/>
              <w:ind w:right="533"/>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1,034</w:t>
            </w:r>
          </w:p>
        </w:tc>
      </w:tr>
      <w:tr>
        <w:trPr>
          <w:trHeight w:val="762"/>
        </w:trPr>
        <w:tc>
          <w:tcPr>
            <w:tcW w:w="7640" w:type="dxa"/>
            <w:vAlign w:val="bottom"/>
            <w:gridSpan w:val="3"/>
          </w:tcPr>
          <w:p>
            <w:pPr>
              <w:spacing w:after="0"/>
              <w:rPr>
                <w:sz w:val="20"/>
                <w:szCs w:val="20"/>
                <w:color w:val="auto"/>
              </w:rPr>
            </w:pPr>
            <w:r>
              <w:rPr>
                <w:rFonts w:ascii="Arial" w:cs="Arial" w:eastAsia="Arial" w:hAnsi="Arial"/>
                <w:sz w:val="18"/>
                <w:szCs w:val="18"/>
                <w:b w:val="1"/>
                <w:bCs w:val="1"/>
                <w:color w:val="auto"/>
              </w:rPr>
              <w:t>Note 4. Inventories</w:t>
            </w: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74"/>
        </w:trPr>
        <w:tc>
          <w:tcPr>
            <w:tcW w:w="120" w:type="dxa"/>
            <w:vAlign w:val="bottom"/>
          </w:tcPr>
          <w:p>
            <w:pPr>
              <w:spacing w:after="0"/>
              <w:rPr>
                <w:sz w:val="24"/>
                <w:szCs w:val="24"/>
                <w:color w:val="auto"/>
              </w:rPr>
            </w:pPr>
          </w:p>
        </w:tc>
        <w:tc>
          <w:tcPr>
            <w:tcW w:w="7520" w:type="dxa"/>
            <w:vAlign w:val="bottom"/>
            <w:gridSpan w:val="2"/>
          </w:tcPr>
          <w:p>
            <w:pPr>
              <w:ind w:left="300"/>
              <w:spacing w:after="0"/>
              <w:rPr>
                <w:sz w:val="20"/>
                <w:szCs w:val="20"/>
                <w:color w:val="auto"/>
              </w:rPr>
            </w:pPr>
            <w:r>
              <w:rPr>
                <w:rFonts w:ascii="Arial" w:cs="Arial" w:eastAsia="Arial" w:hAnsi="Arial"/>
                <w:sz w:val="18"/>
                <w:szCs w:val="18"/>
                <w:color w:val="auto"/>
              </w:rPr>
              <w:t>Major classes of inventory were as follows:</w:t>
            </w: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87"/>
        </w:trPr>
        <w:tc>
          <w:tcPr>
            <w:tcW w:w="120" w:type="dxa"/>
            <w:vAlign w:val="bottom"/>
          </w:tcPr>
          <w:p>
            <w:pPr>
              <w:spacing w:after="0"/>
              <w:rPr>
                <w:sz w:val="24"/>
                <w:szCs w:val="24"/>
                <w:color w:val="auto"/>
              </w:rPr>
            </w:pPr>
          </w:p>
        </w:tc>
        <w:tc>
          <w:tcPr>
            <w:tcW w:w="752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1240" w:type="dxa"/>
            <w:vAlign w:val="bottom"/>
            <w:gridSpan w:val="2"/>
          </w:tcPr>
          <w:p>
            <w:pPr>
              <w:jc w:val="right"/>
              <w:spacing w:after="0"/>
              <w:rPr>
                <w:sz w:val="20"/>
                <w:szCs w:val="20"/>
                <w:color w:val="auto"/>
              </w:rPr>
            </w:pPr>
            <w:r>
              <w:rPr>
                <w:rFonts w:ascii="Arial" w:cs="Arial" w:eastAsia="Arial" w:hAnsi="Arial"/>
                <w:sz w:val="16"/>
                <w:szCs w:val="16"/>
                <w:b w:val="1"/>
                <w:bCs w:val="1"/>
                <w:color w:val="auto"/>
              </w:rPr>
              <w:t>March 29, 2025</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gridSpan w:val="5"/>
          </w:tcPr>
          <w:p>
            <w:pPr>
              <w:jc w:val="right"/>
              <w:ind w:right="580"/>
              <w:spacing w:after="0"/>
              <w:rPr>
                <w:sz w:val="20"/>
                <w:szCs w:val="20"/>
                <w:color w:val="auto"/>
              </w:rPr>
            </w:pPr>
            <w:r>
              <w:rPr>
                <w:rFonts w:ascii="Arial" w:cs="Arial" w:eastAsia="Arial" w:hAnsi="Arial"/>
                <w:sz w:val="16"/>
                <w:szCs w:val="16"/>
                <w:b w:val="1"/>
                <w:bCs w:val="1"/>
                <w:color w:val="auto"/>
              </w:rPr>
              <w:t>December 31, 2024</w:t>
            </w:r>
          </w:p>
        </w:tc>
      </w:tr>
      <w:tr>
        <w:trPr>
          <w:trHeight w:val="20"/>
        </w:trPr>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18"/>
        </w:trPr>
        <w:tc>
          <w:tcPr>
            <w:tcW w:w="120" w:type="dxa"/>
            <w:vAlign w:val="bottom"/>
            <w:tcBorders>
              <w:right w:val="single" w:sz="8" w:color="CCEEFF"/>
            </w:tcBorders>
          </w:tcPr>
          <w:p>
            <w:pPr>
              <w:spacing w:after="0"/>
              <w:rPr>
                <w:sz w:val="18"/>
                <w:szCs w:val="18"/>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Raw materials and packaging</w:t>
            </w:r>
          </w:p>
        </w:tc>
        <w:tc>
          <w:tcPr>
            <w:tcW w:w="50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51,303</w:t>
            </w:r>
          </w:p>
        </w:tc>
        <w:tc>
          <w:tcPr>
            <w:tcW w:w="440" w:type="dxa"/>
            <w:vAlign w:val="bottom"/>
          </w:tcPr>
          <w:p>
            <w:pPr>
              <w:spacing w:after="0"/>
              <w:rPr>
                <w:sz w:val="18"/>
                <w:szCs w:val="18"/>
                <w:color w:val="auto"/>
              </w:rPr>
            </w:pPr>
          </w:p>
        </w:tc>
      </w:tr>
      <w:tr>
        <w:trPr>
          <w:trHeight w:val="225"/>
        </w:trPr>
        <w:tc>
          <w:tcPr>
            <w:tcW w:w="120" w:type="dxa"/>
            <w:vAlign w:val="bottom"/>
          </w:tcPr>
          <w:p>
            <w:pPr>
              <w:spacing w:after="0"/>
              <w:rPr>
                <w:sz w:val="19"/>
                <w:szCs w:val="19"/>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Work in process</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23,462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28,204</w:t>
            </w:r>
          </w:p>
        </w:tc>
        <w:tc>
          <w:tcPr>
            <w:tcW w:w="440" w:type="dxa"/>
            <w:vAlign w:val="bottom"/>
          </w:tcPr>
          <w:p>
            <w:pPr>
              <w:spacing w:after="0"/>
              <w:rPr>
                <w:sz w:val="19"/>
                <w:szCs w:val="19"/>
                <w:color w:val="auto"/>
              </w:rPr>
            </w:pPr>
          </w:p>
        </w:tc>
      </w:tr>
      <w:tr>
        <w:trPr>
          <w:trHeight w:val="225"/>
        </w:trPr>
        <w:tc>
          <w:tcPr>
            <w:tcW w:w="120" w:type="dxa"/>
            <w:vAlign w:val="bottom"/>
            <w:tcBorders>
              <w:right w:val="single" w:sz="8" w:color="CCEEFF"/>
            </w:tcBorders>
          </w:tcPr>
          <w:p>
            <w:pPr>
              <w:spacing w:after="0"/>
              <w:rPr>
                <w:sz w:val="19"/>
                <w:szCs w:val="19"/>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5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31,698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33,937</w:t>
            </w:r>
          </w:p>
        </w:tc>
        <w:tc>
          <w:tcPr>
            <w:tcW w:w="440" w:type="dxa"/>
            <w:vAlign w:val="bottom"/>
          </w:tcPr>
          <w:p>
            <w:pPr>
              <w:spacing w:after="0"/>
              <w:rPr>
                <w:sz w:val="19"/>
                <w:szCs w:val="19"/>
                <w:color w:val="auto"/>
              </w:rPr>
            </w:pPr>
          </w:p>
        </w:tc>
      </w:tr>
      <w:tr>
        <w:trPr>
          <w:trHeight w:val="218"/>
        </w:trPr>
        <w:tc>
          <w:tcPr>
            <w:tcW w:w="120" w:type="dxa"/>
            <w:vAlign w:val="bottom"/>
          </w:tcPr>
          <w:p>
            <w:pPr>
              <w:spacing w:after="0"/>
              <w:rPr>
                <w:sz w:val="19"/>
                <w:szCs w:val="19"/>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tcPr>
          <w:p>
            <w:pPr>
              <w:jc w:val="right"/>
              <w:ind w:right="295"/>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100,068</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113,444</w:t>
            </w:r>
          </w:p>
        </w:tc>
        <w:tc>
          <w:tcPr>
            <w:tcW w:w="44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3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Note 5. Property, Plant and Equipment</w:t>
      </w:r>
    </w:p>
    <w:p>
      <w:pPr>
        <w:spacing w:after="0" w:line="179" w:lineRule="exact"/>
        <w:rPr>
          <w:sz w:val="20"/>
          <w:szCs w:val="20"/>
          <w:color w:val="auto"/>
        </w:rPr>
      </w:pPr>
    </w:p>
    <w:p>
      <w:pPr>
        <w:ind w:left="100" w:right="140" w:firstLine="318"/>
        <w:spacing w:after="0" w:line="283" w:lineRule="auto"/>
        <w:rPr>
          <w:sz w:val="20"/>
          <w:szCs w:val="20"/>
          <w:color w:val="auto"/>
        </w:rPr>
      </w:pPr>
      <w:r>
        <w:rPr>
          <w:rFonts w:ascii="Arial" w:cs="Arial" w:eastAsia="Arial" w:hAnsi="Arial"/>
          <w:sz w:val="18"/>
          <w:szCs w:val="18"/>
          <w:color w:val="auto"/>
        </w:rPr>
        <w:t>The Company records property, plant, and equipment at cost and includes finance lease assets in Property, plant and equipment, net in its condensed consolidated balance sheets. A summary of property, plant, and equipment as of March 29, 2025 and December 31, 2024, is as follows:</w:t>
      </w:r>
    </w:p>
    <w:p>
      <w:pPr>
        <w:spacing w:after="0" w:line="200" w:lineRule="exact"/>
        <w:rPr>
          <w:sz w:val="20"/>
          <w:szCs w:val="20"/>
          <w:color w:val="auto"/>
        </w:rPr>
      </w:pPr>
    </w:p>
    <w:p>
      <w:pPr>
        <w:spacing w:after="0" w:line="226"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04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29, 2025</w:t>
            </w:r>
          </w:p>
        </w:tc>
        <w:tc>
          <w:tcPr>
            <w:tcW w:w="1500" w:type="dxa"/>
            <w:vAlign w:val="bottom"/>
            <w:gridSpan w:val="2"/>
          </w:tcPr>
          <w:p>
            <w:pPr>
              <w:ind w:left="40"/>
              <w:spacing w:after="0"/>
              <w:rPr>
                <w:sz w:val="20"/>
                <w:szCs w:val="20"/>
                <w:color w:val="auto"/>
              </w:rPr>
            </w:pPr>
            <w:r>
              <w:rPr>
                <w:rFonts w:ascii="Arial" w:cs="Arial" w:eastAsia="Arial" w:hAnsi="Arial"/>
                <w:sz w:val="16"/>
                <w:szCs w:val="16"/>
                <w:b w:val="1"/>
                <w:bCs w:val="1"/>
                <w:color w:val="auto"/>
                <w:w w:val="99"/>
              </w:rPr>
              <w:t>December 31, 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6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equipment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167,274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165,626</w:t>
            </w:r>
          </w:p>
        </w:tc>
      </w:tr>
      <w:tr>
        <w:trPr>
          <w:trHeight w:val="225"/>
        </w:trPr>
        <w:tc>
          <w:tcPr>
            <w:tcW w:w="20" w:type="dxa"/>
            <w:vAlign w:val="bottom"/>
          </w:tcPr>
          <w:p>
            <w:pPr>
              <w:spacing w:after="0"/>
              <w:rPr>
                <w:sz w:val="19"/>
                <w:szCs w:val="19"/>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Research and development equipment</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20,816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20,816</w:t>
            </w:r>
          </w:p>
        </w:tc>
      </w:tr>
      <w:tr>
        <w:trPr>
          <w:trHeight w:val="225"/>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18,165</w:t>
            </w:r>
          </w:p>
        </w:tc>
      </w:tr>
      <w:tr>
        <w:trPr>
          <w:trHeight w:val="225"/>
        </w:trPr>
        <w:tc>
          <w:tcPr>
            <w:tcW w:w="20" w:type="dxa"/>
            <w:vAlign w:val="bottom"/>
          </w:tcPr>
          <w:p>
            <w:pPr>
              <w:spacing w:after="0"/>
              <w:rPr>
                <w:sz w:val="19"/>
                <w:szCs w:val="19"/>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Building</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28,246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27,155</w:t>
            </w:r>
          </w:p>
        </w:tc>
      </w:tr>
      <w:tr>
        <w:trPr>
          <w:trHeight w:val="225"/>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leases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5,167</w:t>
            </w:r>
          </w:p>
        </w:tc>
      </w:tr>
      <w:tr>
        <w:trPr>
          <w:trHeight w:val="225"/>
        </w:trPr>
        <w:tc>
          <w:tcPr>
            <w:tcW w:w="20" w:type="dxa"/>
            <w:vAlign w:val="bottom"/>
          </w:tcPr>
          <w:p>
            <w:pPr>
              <w:spacing w:after="0"/>
              <w:rPr>
                <w:sz w:val="19"/>
                <w:szCs w:val="19"/>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Software</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2,743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2,742</w:t>
            </w:r>
          </w:p>
        </w:tc>
      </w:tr>
      <w:tr>
        <w:trPr>
          <w:trHeight w:val="225"/>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w:t>
            </w:r>
          </w:p>
        </w:tc>
      </w:tr>
      <w:tr>
        <w:trPr>
          <w:trHeight w:val="225"/>
        </w:trPr>
        <w:tc>
          <w:tcPr>
            <w:tcW w:w="20" w:type="dxa"/>
            <w:vAlign w:val="bottom"/>
          </w:tcPr>
          <w:p>
            <w:pPr>
              <w:spacing w:after="0"/>
              <w:rPr>
                <w:sz w:val="19"/>
                <w:szCs w:val="19"/>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Vehicles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594</w:t>
            </w:r>
          </w:p>
        </w:tc>
      </w:tr>
      <w:tr>
        <w:trPr>
          <w:trHeight w:val="225"/>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5,416</w:t>
            </w:r>
          </w:p>
        </w:tc>
      </w:tr>
      <w:tr>
        <w:trPr>
          <w:trHeight w:val="225"/>
        </w:trPr>
        <w:tc>
          <w:tcPr>
            <w:tcW w:w="20" w:type="dxa"/>
            <w:vAlign w:val="bottom"/>
            <w:tcBorders>
              <w:bottom w:val="single" w:sz="8" w:color="CCEEFF"/>
            </w:tcBorders>
          </w:tcPr>
          <w:p>
            <w:pPr>
              <w:spacing w:after="0"/>
              <w:rPr>
                <w:sz w:val="19"/>
                <w:szCs w:val="19"/>
                <w:color w:val="auto"/>
              </w:rPr>
            </w:pPr>
          </w:p>
        </w:tc>
        <w:tc>
          <w:tcPr>
            <w:tcW w:w="8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Assets not yet placed in service</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38,635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38,747</w:t>
            </w:r>
          </w:p>
        </w:tc>
      </w:tr>
      <w:tr>
        <w:trPr>
          <w:trHeight w:val="218"/>
        </w:trPr>
        <w:tc>
          <w:tcPr>
            <w:tcW w:w="20" w:type="dxa"/>
            <w:vAlign w:val="bottom"/>
            <w:shd w:val="clear" w:color="auto" w:fill="CCEEFF"/>
          </w:tcPr>
          <w:p>
            <w:pPr>
              <w:spacing w:after="0"/>
              <w:rPr>
                <w:sz w:val="19"/>
                <w:szCs w:val="19"/>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property, plant and equipment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288,495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285,369</w:t>
            </w:r>
          </w:p>
        </w:tc>
      </w:tr>
      <w:tr>
        <w:trPr>
          <w:trHeight w:val="225"/>
        </w:trPr>
        <w:tc>
          <w:tcPr>
            <w:tcW w:w="20" w:type="dxa"/>
            <w:vAlign w:val="bottom"/>
            <w:tcBorders>
              <w:bottom w:val="single" w:sz="8" w:color="CCEEFF"/>
            </w:tcBorders>
          </w:tcPr>
          <w:p>
            <w:pPr>
              <w:spacing w:after="0"/>
              <w:rPr>
                <w:sz w:val="19"/>
                <w:szCs w:val="19"/>
                <w:color w:val="auto"/>
              </w:rPr>
            </w:pPr>
          </w:p>
        </w:tc>
        <w:tc>
          <w:tcPr>
            <w:tcW w:w="80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107,714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100,482</w:t>
            </w: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8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180,781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184,887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ind w:left="100" w:right="160" w:firstLine="318"/>
        <w:spacing w:after="0" w:line="276" w:lineRule="auto"/>
        <w:rPr>
          <w:sz w:val="20"/>
          <w:szCs w:val="20"/>
          <w:color w:val="auto"/>
        </w:rPr>
      </w:pPr>
      <w:r>
        <w:rPr>
          <w:rFonts w:ascii="Arial" w:cs="Arial" w:eastAsia="Arial" w:hAnsi="Arial"/>
          <w:sz w:val="18"/>
          <w:szCs w:val="18"/>
          <w:color w:val="auto"/>
        </w:rPr>
        <w:t>Depreciation and amortization expense in the three months ended March 29, 2025 and March 30, 2024 was $7.4 million and $7.0 million, respectively. Depreciation and amortization expense in the three months ended March 29, 2025 included $1.5 million in accelerated depreciation related to the reassessment of useful lives of certain assets resulting from the suspension of the Company’s operational activities in China. Of the total depreciation and amortization expense in the three months ended March 29, 2025 and March 30, 2024, $6.0 million (including $0.6 million in accelerated depreciation related to the reassessment of useful lives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169545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220" w:top="412"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20"/>
        <w:spacing w:after="0" w:line="272" w:lineRule="auto"/>
        <w:rPr>
          <w:sz w:val="20"/>
          <w:szCs w:val="20"/>
          <w:color w:val="auto"/>
        </w:rPr>
      </w:pPr>
      <w:r>
        <w:rPr>
          <w:rFonts w:ascii="Arial" w:cs="Arial" w:eastAsia="Arial" w:hAnsi="Arial"/>
          <w:sz w:val="18"/>
          <w:szCs w:val="18"/>
          <w:color w:val="auto"/>
        </w:rPr>
        <w:t>certain assets resulting from the suspension of the Company’s operational activities in China) and $6.1 million, respectively, were recorded in cost of goods sold, $1.3 million (including $0.9 million in accelerated depreciation related to the reassessment of useful lives of certain assets resulting from the suspension of the Company’s operational activities in China), and $0.5 million, respectively, were recorded in research and development expenses, and $0.1 million and $0.4 million, respectively, were recorded in SG&amp;A expenses, in the Company’s condensed consolidated statements of operations.</w:t>
      </w:r>
    </w:p>
    <w:p>
      <w:pPr>
        <w:spacing w:after="0" w:line="139" w:lineRule="exact"/>
        <w:rPr>
          <w:sz w:val="20"/>
          <w:szCs w:val="20"/>
          <w:color w:val="auto"/>
        </w:rPr>
      </w:pPr>
    </w:p>
    <w:p>
      <w:pPr>
        <w:ind w:right="40" w:firstLine="318"/>
        <w:spacing w:after="0" w:line="275" w:lineRule="auto"/>
        <w:rPr>
          <w:sz w:val="20"/>
          <w:szCs w:val="20"/>
          <w:color w:val="auto"/>
        </w:rPr>
      </w:pPr>
      <w:r>
        <w:rPr>
          <w:rFonts w:ascii="Arial" w:cs="Arial" w:eastAsia="Arial" w:hAnsi="Arial"/>
          <w:sz w:val="18"/>
          <w:szCs w:val="18"/>
          <w:color w:val="auto"/>
        </w:rPr>
        <w:t>The Company had $1.6 million and $1.9 million in property, plant and equipment concluded to meet the criteria for assets held for sale as of March 29, 2025 and December 31, 2024, respectively, and recorded $0.1 million and $0.2 million in loss on sale of assets in the three months ended March 29, 2025 and March 30, 2024, respectively.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Debt</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summary of debt balances as of March 29, 2025 and December 31, 2024:</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98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160" w:type="dxa"/>
            <w:vAlign w:val="bottom"/>
          </w:tcPr>
          <w:p>
            <w:pPr>
              <w:spacing w:after="0"/>
              <w:rPr>
                <w:sz w:val="16"/>
                <w:szCs w:val="16"/>
                <w:color w:val="auto"/>
              </w:rPr>
            </w:pPr>
          </w:p>
        </w:tc>
        <w:tc>
          <w:tcPr>
            <w:tcW w:w="150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29, 2025</w:t>
            </w:r>
          </w:p>
        </w:tc>
        <w:tc>
          <w:tcPr>
            <w:tcW w:w="1580" w:type="dxa"/>
            <w:vAlign w:val="bottom"/>
            <w:gridSpan w:val="2"/>
          </w:tcPr>
          <w:p>
            <w:pPr>
              <w:jc w:val="right"/>
              <w:spacing w:after="0"/>
              <w:rPr>
                <w:sz w:val="20"/>
                <w:szCs w:val="20"/>
                <w:color w:val="auto"/>
              </w:rPr>
            </w:pPr>
            <w:r>
              <w:rPr>
                <w:rFonts w:ascii="Arial" w:cs="Arial" w:eastAsia="Arial" w:hAnsi="Arial"/>
                <w:sz w:val="16"/>
                <w:szCs w:val="16"/>
                <w:b w:val="1"/>
                <w:bCs w:val="1"/>
                <w:color w:val="auto"/>
              </w:rPr>
              <w:t>December 31, 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 Convertible senior notes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1,150,000</w:t>
            </w:r>
          </w:p>
        </w:tc>
      </w:tr>
      <w:tr>
        <w:trPr>
          <w:trHeight w:val="225"/>
        </w:trPr>
        <w:tc>
          <w:tcPr>
            <w:tcW w:w="20" w:type="dxa"/>
            <w:vAlign w:val="bottom"/>
            <w:tcBorders>
              <w:bottom w:val="single" w:sz="8" w:color="CCEEFF"/>
            </w:tcBorders>
          </w:tcPr>
          <w:p>
            <w:pPr>
              <w:spacing w:after="0"/>
              <w:rPr>
                <w:sz w:val="19"/>
                <w:szCs w:val="19"/>
                <w:color w:val="auto"/>
              </w:rPr>
            </w:pPr>
          </w:p>
        </w:tc>
        <w:tc>
          <w:tcPr>
            <w:tcW w:w="79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Debt issuance costs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(7,540)</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(8,524)</w:t>
            </w:r>
          </w:p>
        </w:tc>
      </w:tr>
      <w:tr>
        <w:trPr>
          <w:trHeight w:val="218"/>
        </w:trPr>
        <w:tc>
          <w:tcPr>
            <w:tcW w:w="20" w:type="dxa"/>
            <w:vAlign w:val="bottom"/>
            <w:shd w:val="clear" w:color="auto" w:fill="CCEEFF"/>
          </w:tcPr>
          <w:p>
            <w:pPr>
              <w:spacing w:after="0"/>
              <w:rPr>
                <w:sz w:val="19"/>
                <w:szCs w:val="19"/>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debt outstanding</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1,142,460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1,141,476</w:t>
            </w:r>
          </w:p>
        </w:tc>
      </w:tr>
      <w:tr>
        <w:trPr>
          <w:trHeight w:val="225"/>
        </w:trPr>
        <w:tc>
          <w:tcPr>
            <w:tcW w:w="20" w:type="dxa"/>
            <w:vAlign w:val="bottom"/>
          </w:tcPr>
          <w:p>
            <w:pPr>
              <w:spacing w:after="0"/>
              <w:rPr>
                <w:sz w:val="19"/>
                <w:szCs w:val="19"/>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Less: current portion of long-term debt</w:t>
            </w: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7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1,142,460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1,141,476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77" w:lineRule="exact"/>
        <w:rPr>
          <w:sz w:val="20"/>
          <w:szCs w:val="20"/>
          <w:color w:val="auto"/>
        </w:rPr>
      </w:pPr>
    </w:p>
    <w:p>
      <w:pPr>
        <w:ind w:right="80" w:firstLine="318"/>
        <w:spacing w:after="0" w:line="272" w:lineRule="auto"/>
        <w:rPr>
          <w:sz w:val="20"/>
          <w:szCs w:val="20"/>
          <w:color w:val="auto"/>
        </w:rPr>
      </w:pPr>
      <w:r>
        <w:rPr>
          <w:rFonts w:ascii="Arial" w:cs="Arial" w:eastAsia="Arial" w:hAnsi="Arial"/>
          <w:sz w:val="18"/>
          <w:szCs w:val="18"/>
          <w:color w:val="auto"/>
        </w:rPr>
        <w:t>On March 5, 2021, the Company issued $1.0 billion aggregate principal amount of its 0% Convertible Senior Notes due 2027 (the “Convertible Notes”) in a private placement to qualified institutional buyers pursuant to Rule 144A under the Securities Act of 1933, as amended. On March 12, 2021, the initial purchasers of the Convertible Notes exercised their option to purchase an additional $150.0 million aggregate principal amount of the Company’s 0% Convertible Senior Notes due 2027 (the “Additional Notes”, and together with the Convertible Notes, the “Notes”), and such Additional Notes were issued on March 16, 2021.</w:t>
      </w:r>
    </w:p>
    <w:p>
      <w:pPr>
        <w:spacing w:after="0" w:line="126" w:lineRule="exact"/>
        <w:rPr>
          <w:sz w:val="20"/>
          <w:szCs w:val="20"/>
          <w:color w:val="auto"/>
        </w:rPr>
      </w:pPr>
    </w:p>
    <w:p>
      <w:pPr>
        <w:ind w:right="280" w:firstLine="318"/>
        <w:spacing w:after="0" w:line="276" w:lineRule="auto"/>
        <w:rPr>
          <w:sz w:val="20"/>
          <w:szCs w:val="20"/>
          <w:color w:val="auto"/>
        </w:rPr>
      </w:pPr>
      <w:r>
        <w:rPr>
          <w:rFonts w:ascii="Arial" w:cs="Arial" w:eastAsia="Arial" w:hAnsi="Arial"/>
          <w:sz w:val="18"/>
          <w:szCs w:val="18"/>
          <w:color w:val="auto"/>
        </w:rPr>
        <w:t>The total amount of debt issuance costs of $23.6 million was recorded as a reduction to Convertible senior notes, net in the Company’s condensed consolidated balance sheet and is being amortized as interest expense over the term of the Notes using the effective interest method. In each of the three months ended March 29, 2025 and March 30, 2024, the Company recognized $1.0 million in interest expense related to the amortization of the debt issuance costs related to the Notes. The annualized effective interest rate was 0.34% and 0.35% as of the three months ended March 29, 2025 and March 30, 2024, respectively</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summary of the Company’s Notes as of March 29, 2025:</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Unamortized</w:t>
            </w:r>
          </w:p>
        </w:tc>
        <w:tc>
          <w:tcPr>
            <w:tcW w:w="18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Net Carrying</w:t>
            </w:r>
          </w:p>
        </w:tc>
        <w:tc>
          <w:tcPr>
            <w:tcW w:w="24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3"/>
          </w:tcPr>
          <w:p>
            <w:pPr>
              <w:ind w:left="780"/>
              <w:spacing w:after="0"/>
              <w:rPr>
                <w:sz w:val="20"/>
                <w:szCs w:val="20"/>
                <w:color w:val="auto"/>
              </w:rPr>
            </w:pPr>
            <w:r>
              <w:rPr>
                <w:rFonts w:ascii="Arial" w:cs="Arial" w:eastAsia="Arial" w:hAnsi="Arial"/>
                <w:sz w:val="16"/>
                <w:szCs w:val="16"/>
                <w:b w:val="1"/>
                <w:bCs w:val="1"/>
                <w:color w:val="auto"/>
              </w:rPr>
              <w:t>Fair Value</w:t>
            </w:r>
          </w:p>
        </w:tc>
      </w:tr>
      <w:tr>
        <w:trPr>
          <w:trHeight w:val="205"/>
        </w:trPr>
        <w:tc>
          <w:tcPr>
            <w:tcW w:w="4000" w:type="dxa"/>
            <w:vAlign w:val="bottom"/>
          </w:tcPr>
          <w:p>
            <w:pPr>
              <w:jc w:val="right"/>
              <w:ind w:right="1415"/>
              <w:spacing w:after="0"/>
              <w:rPr>
                <w:sz w:val="20"/>
                <w:szCs w:val="20"/>
                <w:color w:val="auto"/>
              </w:rPr>
            </w:pPr>
            <w:r>
              <w:rPr>
                <w:rFonts w:ascii="Arial" w:cs="Arial" w:eastAsia="Arial" w:hAnsi="Arial"/>
                <w:sz w:val="16"/>
                <w:szCs w:val="16"/>
                <w:b w:val="1"/>
                <w:bCs w:val="1"/>
                <w:color w:val="auto"/>
              </w:rPr>
              <w:t>(in thousands)</w:t>
            </w:r>
          </w:p>
        </w:tc>
        <w:tc>
          <w:tcPr>
            <w:tcW w:w="1440" w:type="dxa"/>
            <w:vAlign w:val="bottom"/>
            <w:gridSpan w:val="3"/>
          </w:tcPr>
          <w:p>
            <w:pPr>
              <w:ind w:left="20"/>
              <w:spacing w:after="0"/>
              <w:rPr>
                <w:sz w:val="20"/>
                <w:szCs w:val="20"/>
                <w:color w:val="auto"/>
              </w:rPr>
            </w:pPr>
            <w:r>
              <w:rPr>
                <w:rFonts w:ascii="Arial" w:cs="Arial" w:eastAsia="Arial" w:hAnsi="Arial"/>
                <w:sz w:val="16"/>
                <w:szCs w:val="16"/>
                <w:b w:val="1"/>
                <w:bCs w:val="1"/>
                <w:color w:val="auto"/>
              </w:rPr>
              <w:t>Principal Amount</w:t>
            </w:r>
          </w:p>
        </w:tc>
        <w:tc>
          <w:tcPr>
            <w:tcW w:w="146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rPr>
              <w:t>Issuance Costs</w:t>
            </w:r>
          </w:p>
        </w:tc>
        <w:tc>
          <w:tcPr>
            <w:tcW w:w="180" w:type="dxa"/>
            <w:vAlign w:val="bottom"/>
          </w:tcPr>
          <w:p>
            <w:pPr>
              <w:spacing w:after="0"/>
              <w:rPr>
                <w:sz w:val="17"/>
                <w:szCs w:val="17"/>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Amount</w:t>
            </w:r>
          </w:p>
        </w:tc>
        <w:tc>
          <w:tcPr>
            <w:tcW w:w="240" w:type="dxa"/>
            <w:vAlign w:val="bottom"/>
          </w:tcPr>
          <w:p>
            <w:pPr>
              <w:spacing w:after="0"/>
              <w:rPr>
                <w:sz w:val="17"/>
                <w:szCs w:val="17"/>
                <w:color w:val="auto"/>
              </w:rPr>
            </w:pPr>
          </w:p>
        </w:tc>
        <w:tc>
          <w:tcPr>
            <w:tcW w:w="1220" w:type="dxa"/>
            <w:vAlign w:val="bottom"/>
            <w:gridSpan w:val="2"/>
          </w:tcPr>
          <w:p>
            <w:pPr>
              <w:ind w:left="140"/>
              <w:spacing w:after="0"/>
              <w:rPr>
                <w:sz w:val="20"/>
                <w:szCs w:val="20"/>
                <w:color w:val="auto"/>
              </w:rPr>
            </w:pPr>
            <w:r>
              <w:rPr>
                <w:rFonts w:ascii="Arial" w:cs="Arial" w:eastAsia="Arial" w:hAnsi="Arial"/>
                <w:sz w:val="16"/>
                <w:szCs w:val="16"/>
                <w:b w:val="1"/>
                <w:bCs w:val="1"/>
                <w:color w:val="auto"/>
              </w:rPr>
              <w:t>Amount</w:t>
            </w:r>
          </w:p>
        </w:tc>
        <w:tc>
          <w:tcPr>
            <w:tcW w:w="1340" w:type="dxa"/>
            <w:vAlign w:val="bottom"/>
          </w:tcPr>
          <w:p>
            <w:pPr>
              <w:ind w:left="360"/>
              <w:spacing w:after="0"/>
              <w:rPr>
                <w:sz w:val="20"/>
                <w:szCs w:val="20"/>
                <w:color w:val="auto"/>
              </w:rPr>
            </w:pPr>
            <w:r>
              <w:rPr>
                <w:rFonts w:ascii="Arial" w:cs="Arial" w:eastAsia="Arial" w:hAnsi="Arial"/>
                <w:sz w:val="16"/>
                <w:szCs w:val="16"/>
                <w:b w:val="1"/>
                <w:bCs w:val="1"/>
                <w:color w:val="auto"/>
              </w:rPr>
              <w:t>Leveling</w:t>
            </w:r>
          </w:p>
        </w:tc>
      </w:tr>
      <w:tr>
        <w:trPr>
          <w:trHeight w:val="162"/>
        </w:trPr>
        <w:tc>
          <w:tcPr>
            <w:tcW w:w="4000" w:type="dxa"/>
            <w:vAlign w:val="bottom"/>
            <w:tcBorders>
              <w:top w:val="single" w:sz="8" w:color="CCEEFF"/>
            </w:tcBorders>
            <w:shd w:val="clear" w:color="auto" w:fill="CCEEFF"/>
          </w:tcPr>
          <w:p>
            <w:pPr>
              <w:jc w:val="right"/>
              <w:ind w:right="255"/>
              <w:spacing w:after="0" w:line="162" w:lineRule="exact"/>
              <w:rPr>
                <w:sz w:val="20"/>
                <w:szCs w:val="20"/>
                <w:color w:val="auto"/>
              </w:rPr>
            </w:pPr>
            <w:r>
              <w:rPr>
                <w:rFonts w:ascii="Arial" w:cs="Arial" w:eastAsia="Arial" w:hAnsi="Arial"/>
                <w:sz w:val="18"/>
                <w:szCs w:val="18"/>
                <w:color w:val="auto"/>
                <w:w w:val="98"/>
              </w:rPr>
              <w:t>0% Convertible senior notes due on March 15,</w:t>
            </w:r>
          </w:p>
        </w:tc>
        <w:tc>
          <w:tcPr>
            <w:tcW w:w="3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r>
      <w:tr>
        <w:trPr>
          <w:trHeight w:val="229"/>
        </w:trPr>
        <w:tc>
          <w:tcPr>
            <w:tcW w:w="4000" w:type="dxa"/>
            <w:vAlign w:val="bottom"/>
            <w:shd w:val="clear" w:color="auto" w:fill="CCEEFF"/>
          </w:tcPr>
          <w:p>
            <w:pPr>
              <w:jc w:val="right"/>
              <w:ind w:right="3335"/>
              <w:spacing w:after="0"/>
              <w:rPr>
                <w:sz w:val="20"/>
                <w:szCs w:val="20"/>
                <w:color w:val="auto"/>
              </w:rPr>
            </w:pPr>
            <w:r>
              <w:rPr>
                <w:rFonts w:ascii="Arial" w:cs="Arial" w:eastAsia="Arial" w:hAnsi="Arial"/>
                <w:sz w:val="18"/>
                <w:szCs w:val="18"/>
                <w:color w:val="auto"/>
              </w:rPr>
              <w:t>2027</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1,142,460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139,438</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Level 2</w:t>
            </w:r>
          </w:p>
        </w:tc>
      </w:tr>
    </w:tbl>
    <w:p>
      <w:pPr>
        <w:spacing w:after="0" w:line="248" w:lineRule="exact"/>
        <w:rPr>
          <w:sz w:val="20"/>
          <w:szCs w:val="20"/>
          <w:color w:val="auto"/>
        </w:rPr>
      </w:pPr>
    </w:p>
    <w:p>
      <w:pPr>
        <w:ind w:right="160" w:firstLine="318"/>
        <w:spacing w:after="0" w:line="283" w:lineRule="auto"/>
        <w:rPr>
          <w:sz w:val="20"/>
          <w:szCs w:val="20"/>
          <w:color w:val="auto"/>
        </w:rPr>
      </w:pPr>
      <w:r>
        <w:rPr>
          <w:rFonts w:ascii="Arial" w:cs="Arial" w:eastAsia="Arial" w:hAnsi="Arial"/>
          <w:sz w:val="18"/>
          <w:szCs w:val="18"/>
          <w:color w:val="auto"/>
        </w:rPr>
        <w:t>The Notes are carried at face value less the unamortized debt issuance costs on the Company’s condensed consolidated balance sheets. As of March 29, 2025, the estimated fair value of the Notes was approximately $139.4 million. The Notes are quoted on the Intercontinental Exchange and are classified as Level 2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540"/>
        <w:spacing w:after="0" w:line="290" w:lineRule="auto"/>
        <w:rPr>
          <w:sz w:val="20"/>
          <w:szCs w:val="20"/>
          <w:color w:val="auto"/>
        </w:rPr>
      </w:pPr>
      <w:r>
        <w:rPr>
          <w:rFonts w:ascii="Arial" w:cs="Arial" w:eastAsia="Arial" w:hAnsi="Arial"/>
          <w:sz w:val="18"/>
          <w:szCs w:val="18"/>
          <w:color w:val="auto"/>
        </w:rPr>
        <w:t>instruments. The estimated fair value of the Notes was determined based on the actual bid price of the Notes on March 28, 2025, the last business day of the period when the Notes were traded.</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March 29, 2025, the remaining life of the Notes was approximately 2.0 years.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151" w:lineRule="exact"/>
        <w:rPr>
          <w:sz w:val="20"/>
          <w:szCs w:val="20"/>
          <w:color w:val="auto"/>
        </w:rPr>
      </w:pPr>
    </w:p>
    <w:p>
      <w:pPr>
        <w:ind w:right="140" w:firstLine="318"/>
        <w:spacing w:after="0" w:line="259" w:lineRule="auto"/>
        <w:rPr>
          <w:sz w:val="20"/>
          <w:szCs w:val="20"/>
          <w:color w:val="auto"/>
        </w:rPr>
      </w:pPr>
      <w:r>
        <w:rPr>
          <w:rFonts w:ascii="Arial" w:cs="Arial" w:eastAsia="Arial" w:hAnsi="Arial"/>
          <w:sz w:val="18"/>
          <w:szCs w:val="18"/>
          <w:color w:val="auto"/>
        </w:rPr>
        <w:t xml:space="preserve">Subsequent to the quarter ended March 29, 2025, the Company entered into the loan and security agreement described in </w:t>
      </w:r>
      <w:r>
        <w:rPr>
          <w:rFonts w:ascii="Arial" w:cs="Arial" w:eastAsia="Arial" w:hAnsi="Arial"/>
          <w:sz w:val="18"/>
          <w:szCs w:val="18"/>
          <w:u w:val="single" w:color="auto"/>
          <w:color w:val="0000FF"/>
        </w:rPr>
        <w:t>Note 14</w:t>
      </w:r>
      <w:r>
        <w:rPr>
          <w:rFonts w:ascii="Arial" w:cs="Arial" w:eastAsia="Arial" w:hAnsi="Arial"/>
          <w:sz w:val="18"/>
          <w:szCs w:val="18"/>
          <w:color w:val="auto"/>
        </w:rPr>
        <w:t>, which provides for up to $100.0 million in new first-lien senior secured debt.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Deficit</w:t>
      </w:r>
    </w:p>
    <w:p>
      <w:pPr>
        <w:spacing w:after="0" w:line="179" w:lineRule="exact"/>
        <w:rPr>
          <w:sz w:val="20"/>
          <w:szCs w:val="20"/>
          <w:color w:val="auto"/>
        </w:rPr>
      </w:pPr>
    </w:p>
    <w:p>
      <w:pPr>
        <w:ind w:right="160" w:firstLine="318"/>
        <w:spacing w:after="0" w:line="275" w:lineRule="auto"/>
        <w:rPr>
          <w:sz w:val="20"/>
          <w:szCs w:val="20"/>
          <w:color w:val="auto"/>
        </w:rPr>
      </w:pPr>
      <w:r>
        <w:rPr>
          <w:rFonts w:ascii="Arial" w:cs="Arial" w:eastAsia="Arial" w:hAnsi="Arial"/>
          <w:sz w:val="18"/>
          <w:szCs w:val="18"/>
          <w:color w:val="auto"/>
        </w:rPr>
        <w:t>As of March 29, 2025, the Company’s shares consisted of 500,000,000 authorized shares of common stock, par value $0.0001 per share, of which 76,408,877 shares of common stock were issued and outstanding, and 500,000 authorized shares of preferred stock, par value $0.0001 per share, of which no shares were issued and outstanding.</w:t>
      </w:r>
    </w:p>
    <w:p>
      <w:pPr>
        <w:spacing w:after="0" w:line="136" w:lineRule="exact"/>
        <w:rPr>
          <w:sz w:val="20"/>
          <w:szCs w:val="20"/>
          <w:color w:val="auto"/>
        </w:rPr>
      </w:pPr>
    </w:p>
    <w:p>
      <w:pPr>
        <w:jc w:val="both"/>
        <w:ind w:right="380" w:firstLine="318"/>
        <w:spacing w:after="0" w:line="275" w:lineRule="auto"/>
        <w:rPr>
          <w:sz w:val="20"/>
          <w:szCs w:val="20"/>
          <w:color w:val="auto"/>
        </w:rPr>
      </w:pPr>
      <w:r>
        <w:rPr>
          <w:rFonts w:ascii="Arial" w:cs="Arial" w:eastAsia="Arial" w:hAnsi="Arial"/>
          <w:sz w:val="18"/>
          <w:szCs w:val="18"/>
          <w:color w:val="auto"/>
        </w:rPr>
        <w:t>As of December 31, 2024, the Company’s shares consisted of 500,000,000 authorized shares of common stock, par value $0.0001 per share, of which 76,065,969 shares were issued and outstanding, and 500,000 authorized shares of preferred stock, par value $0.0001 per share, of which no shares were issued and outstanding.</w:t>
      </w:r>
    </w:p>
    <w:p>
      <w:pPr>
        <w:spacing w:after="0" w:line="136" w:lineRule="exact"/>
        <w:rPr>
          <w:sz w:val="20"/>
          <w:szCs w:val="20"/>
          <w:color w:val="auto"/>
        </w:rPr>
      </w:pPr>
    </w:p>
    <w:p>
      <w:pPr>
        <w:ind w:right="120" w:firstLine="318"/>
        <w:spacing w:after="0" w:line="290" w:lineRule="auto"/>
        <w:rPr>
          <w:sz w:val="20"/>
          <w:szCs w:val="20"/>
          <w:color w:val="auto"/>
        </w:rPr>
      </w:pPr>
      <w:r>
        <w:rPr>
          <w:rFonts w:ascii="Arial" w:cs="Arial" w:eastAsia="Arial" w:hAnsi="Arial"/>
          <w:sz w:val="18"/>
          <w:szCs w:val="18"/>
          <w:color w:val="auto"/>
        </w:rPr>
        <w:t>The Company has not declared or paid any dividends, or authorized or made any distribution upon or with respect to any class or series of its capital stock.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Common stock reserved for future issuance consisted of the following:</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66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29, 2025</w:t>
            </w:r>
          </w:p>
        </w:tc>
        <w:tc>
          <w:tcPr>
            <w:tcW w:w="1760" w:type="dxa"/>
            <w:vAlign w:val="bottom"/>
          </w:tcPr>
          <w:p>
            <w:pPr>
              <w:jc w:val="right"/>
              <w:ind w:right="73"/>
              <w:spacing w:after="0"/>
              <w:rPr>
                <w:sz w:val="20"/>
                <w:szCs w:val="20"/>
                <w:color w:val="auto"/>
              </w:rPr>
            </w:pPr>
            <w:r>
              <w:rPr>
                <w:rFonts w:ascii="Arial" w:cs="Arial" w:eastAsia="Arial" w:hAnsi="Arial"/>
                <w:sz w:val="16"/>
                <w:szCs w:val="16"/>
                <w:b w:val="1"/>
                <w:bCs w:val="1"/>
                <w:color w:val="auto"/>
              </w:rPr>
              <w:t>December 31, 2024</w:t>
            </w:r>
          </w:p>
        </w:tc>
      </w:tr>
      <w:tr>
        <w:trPr>
          <w:trHeight w:val="218"/>
        </w:trPr>
        <w:tc>
          <w:tcPr>
            <w:tcW w:w="7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 incentive compensation awards granted and outstanding</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6,152,634</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6,859,658</w:t>
            </w:r>
          </w:p>
        </w:tc>
      </w:tr>
      <w:tr>
        <w:trPr>
          <w:trHeight w:val="225"/>
        </w:trPr>
        <w:tc>
          <w:tcPr>
            <w:tcW w:w="3600" w:type="dxa"/>
            <w:vAlign w:val="bottom"/>
          </w:tcPr>
          <w:p>
            <w:pPr>
              <w:ind w:left="20"/>
              <w:spacing w:after="0"/>
              <w:rPr>
                <w:sz w:val="20"/>
                <w:szCs w:val="20"/>
                <w:color w:val="auto"/>
              </w:rPr>
            </w:pPr>
            <w:r>
              <w:rPr>
                <w:rFonts w:ascii="Arial" w:cs="Arial" w:eastAsia="Arial" w:hAnsi="Arial"/>
                <w:sz w:val="18"/>
                <w:szCs w:val="18"/>
                <w:color w:val="auto"/>
                <w:w w:val="98"/>
              </w:rPr>
              <w:t>Shares available for issuance under the 2018</w:t>
            </w:r>
          </w:p>
        </w:tc>
        <w:tc>
          <w:tcPr>
            <w:tcW w:w="4220" w:type="dxa"/>
            <w:vAlign w:val="bottom"/>
          </w:tcPr>
          <w:p>
            <w:pPr>
              <w:ind w:left="20"/>
              <w:spacing w:after="0" w:line="225" w:lineRule="exact"/>
              <w:rPr>
                <w:sz w:val="20"/>
                <w:szCs w:val="20"/>
                <w:color w:val="auto"/>
              </w:rPr>
            </w:pPr>
            <w:r>
              <w:rPr>
                <w:rFonts w:ascii="Arial" w:cs="Arial" w:eastAsia="Arial" w:hAnsi="Arial"/>
                <w:sz w:val="18"/>
                <w:szCs w:val="18"/>
                <w:color w:val="auto"/>
              </w:rPr>
              <w:t>Equity Incentive Plan</w:t>
            </w:r>
            <w:r>
              <w:rPr>
                <w:rFonts w:ascii="Arial" w:cs="Arial" w:eastAsia="Arial" w:hAnsi="Arial"/>
                <w:sz w:val="22"/>
                <w:szCs w:val="22"/>
                <w:color w:val="auto"/>
                <w:vertAlign w:val="superscript"/>
              </w:rPr>
              <w:t>(1)</w:t>
            </w:r>
          </w:p>
        </w:tc>
        <w:tc>
          <w:tcPr>
            <w:tcW w:w="1560" w:type="dxa"/>
            <w:vAlign w:val="bottom"/>
          </w:tcPr>
          <w:p>
            <w:pPr>
              <w:jc w:val="right"/>
              <w:spacing w:after="0"/>
              <w:rPr>
                <w:sz w:val="20"/>
                <w:szCs w:val="20"/>
                <w:color w:val="auto"/>
              </w:rPr>
            </w:pPr>
            <w:r>
              <w:rPr>
                <w:rFonts w:ascii="Arial" w:cs="Arial" w:eastAsia="Arial" w:hAnsi="Arial"/>
                <w:sz w:val="18"/>
                <w:szCs w:val="18"/>
                <w:color w:val="auto"/>
              </w:rPr>
              <w:t>10,060,157</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7,489,593</w:t>
            </w:r>
          </w:p>
        </w:tc>
      </w:tr>
      <w:tr>
        <w:trPr>
          <w:trHeight w:val="225"/>
        </w:trPr>
        <w:tc>
          <w:tcPr>
            <w:tcW w:w="3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Shares available for issuance under the 2018</w:t>
            </w:r>
          </w:p>
        </w:tc>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4,020,975</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3,484,845</w:t>
            </w:r>
          </w:p>
        </w:tc>
      </w:tr>
      <w:tr>
        <w:trPr>
          <w:trHeight w:val="225"/>
        </w:trPr>
        <w:tc>
          <w:tcPr>
            <w:tcW w:w="7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Shares reserved for potential issuance under the Notes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8,234,230</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8,234,230</w:t>
            </w:r>
          </w:p>
        </w:tc>
      </w:tr>
      <w:tr>
        <w:trPr>
          <w:trHeight w:val="243"/>
        </w:trPr>
        <w:tc>
          <w:tcPr>
            <w:tcW w:w="7820" w:type="dxa"/>
            <w:vAlign w:val="bottom"/>
            <w:tcBorders>
              <w:bottom w:val="single" w:sz="8" w:color="CCEEFF"/>
            </w:tcBorders>
            <w:gridSpan w:val="2"/>
            <w:shd w:val="clear" w:color="auto" w:fill="CCEEFF"/>
          </w:tcPr>
          <w:p>
            <w:pPr>
              <w:ind w:left="20"/>
              <w:spacing w:after="0" w:line="219" w:lineRule="exact"/>
              <w:rPr>
                <w:sz w:val="20"/>
                <w:szCs w:val="20"/>
                <w:color w:val="auto"/>
              </w:rPr>
            </w:pPr>
            <w:r>
              <w:rPr>
                <w:rFonts w:ascii="Arial" w:cs="Arial" w:eastAsia="Arial" w:hAnsi="Arial"/>
                <w:sz w:val="18"/>
                <w:szCs w:val="18"/>
                <w:color w:val="auto"/>
              </w:rPr>
              <w:t>Total common stock reserved for future issuance</w:t>
            </w:r>
            <w:r>
              <w:rPr>
                <w:rFonts w:ascii="Arial" w:cs="Arial" w:eastAsia="Arial" w:hAnsi="Arial"/>
                <w:sz w:val="22"/>
                <w:szCs w:val="22"/>
                <w:color w:val="auto"/>
                <w:vertAlign w:val="superscript"/>
              </w:rPr>
              <w:t>(2)</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28,467,996</w:t>
            </w:r>
          </w:p>
        </w:tc>
        <w:tc>
          <w:tcPr>
            <w:tcW w:w="1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26,068,326</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w:t>
      </w:r>
    </w:p>
    <w:p>
      <w:pPr>
        <w:spacing w:after="0" w:line="18" w:lineRule="exact"/>
        <w:rPr>
          <w:sz w:val="20"/>
          <w:szCs w:val="20"/>
          <w:color w:val="auto"/>
        </w:rPr>
      </w:pPr>
    </w:p>
    <w:p>
      <w:pPr>
        <w:ind w:left="240" w:right="460" w:hanging="234"/>
        <w:spacing w:after="0" w:line="293" w:lineRule="auto"/>
        <w:tabs>
          <w:tab w:leader="none" w:pos="2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 xml:space="preserve">Shares available for issuance under the 2018 Equity Incentive Plan includes 145,660 and 225,967 shares at March 29, 2025 and December 31, 2024, respectively, that may be issued pursuant to performance stock units (“PSUs”) if 200% of the applicable performance target is achieved. See </w:t>
      </w:r>
      <w:r>
        <w:rPr>
          <w:rFonts w:ascii="Arial" w:cs="Arial" w:eastAsia="Arial" w:hAnsi="Arial"/>
          <w:sz w:val="15"/>
          <w:szCs w:val="15"/>
          <w:u w:val="single" w:color="auto"/>
          <w:color w:val="0000FF"/>
        </w:rPr>
        <w:t>Note 8</w:t>
      </w:r>
      <w:r>
        <w:rPr>
          <w:rFonts w:ascii="Arial" w:cs="Arial" w:eastAsia="Arial" w:hAnsi="Arial"/>
          <w:sz w:val="15"/>
          <w:szCs w:val="15"/>
          <w:color w:val="auto"/>
        </w:rPr>
        <w:t>.</w:t>
      </w:r>
    </w:p>
    <w:p>
      <w:pPr>
        <w:ind w:left="240" w:hanging="234"/>
        <w:spacing w:after="0"/>
        <w:tabs>
          <w:tab w:leader="none" w:pos="2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Total common stock reserved for future issuance excludes shares that may be issued pursuant to the ATM Program discussed below.</w:t>
      </w:r>
    </w:p>
    <w:p>
      <w:pPr>
        <w:spacing w:after="0" w:line="118" w:lineRule="exact"/>
        <w:rPr>
          <w:sz w:val="20"/>
          <w:szCs w:val="20"/>
          <w:color w:val="auto"/>
        </w:rPr>
      </w:pPr>
    </w:p>
    <w:p>
      <w:pPr>
        <w:ind w:right="60" w:firstLine="318"/>
        <w:spacing w:after="0" w:line="283" w:lineRule="auto"/>
        <w:rPr>
          <w:sz w:val="20"/>
          <w:szCs w:val="20"/>
          <w:color w:val="auto"/>
        </w:rPr>
      </w:pPr>
      <w:r>
        <w:rPr>
          <w:rFonts w:ascii="Arial" w:cs="Arial" w:eastAsia="Arial" w:hAnsi="Arial"/>
          <w:sz w:val="18"/>
          <w:szCs w:val="18"/>
          <w:color w:val="auto"/>
        </w:rPr>
        <w:t xml:space="preserve">Subsequent to the quarter ended March 29, 2025, in connection with the Warrant Agreement (as defined below), the Company reserved an additional 9,558,635 shares for future issuance upon the exercise of outstanding Warrants (as defined below) in accordance with the Warrant Agreement. See </w:t>
      </w:r>
      <w:r>
        <w:rPr>
          <w:rFonts w:ascii="Arial" w:cs="Arial" w:eastAsia="Arial" w:hAnsi="Arial"/>
          <w:sz w:val="18"/>
          <w:szCs w:val="18"/>
          <w:u w:val="single" w:color="auto"/>
          <w:color w:val="0000FF"/>
        </w:rPr>
        <w:t>Note 14</w:t>
      </w:r>
      <w:r>
        <w:rPr>
          <w:rFonts w:ascii="Arial" w:cs="Arial" w:eastAsia="Arial" w:hAnsi="Arial"/>
          <w:sz w:val="18"/>
          <w:szCs w:val="18"/>
          <w:color w:val="auto"/>
        </w:rPr>
        <w:t>.</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ATM Program</w:t>
      </w:r>
    </w:p>
    <w:p>
      <w:pPr>
        <w:spacing w:after="0" w:line="177" w:lineRule="exact"/>
        <w:rPr>
          <w:sz w:val="20"/>
          <w:szCs w:val="20"/>
          <w:color w:val="auto"/>
        </w:rPr>
      </w:pPr>
    </w:p>
    <w:p>
      <w:pPr>
        <w:ind w:right="240" w:firstLine="318"/>
        <w:spacing w:after="0" w:line="275" w:lineRule="auto"/>
        <w:rPr>
          <w:sz w:val="20"/>
          <w:szCs w:val="20"/>
          <w:color w:val="auto"/>
        </w:rPr>
      </w:pPr>
      <w:r>
        <w:rPr>
          <w:rFonts w:ascii="Arial" w:cs="Arial" w:eastAsia="Arial" w:hAnsi="Arial"/>
          <w:sz w:val="18"/>
          <w:szCs w:val="18"/>
          <w:color w:val="auto"/>
        </w:rPr>
        <w:t>In May 2023, the Company filed an automatic shelf registration statement on Form S-3 (the “2023 Shelf Registration Statement”) with the SEC registering an indeterminate amount of its common stock, preferred stock, debt securities, warrants, purchase contracts and units (collectively, “Company securities”). On March 18, 2024, the Company filed an updated shelf registration statement on Form S-3 (the “2024 Shelf Registration Statement”), which the SEC declared effective on April 12, 2024 and which replaced the 2023 Shelf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Statement. The 2024 Shelf Registration Statement allows the Company to sell, from time to time and at its discretion, Company securities having an aggregate offering price of up to $250.0 million including shares of common stock that may be sold pursuant to the Company’s equity distribution agreement, dated as of November 7, 2024 (the “Equity Distribution Agreement”), with B. Riley Securities, Inc. (“B. Riley”), as sales agent, under an “at the market” offering program (the “ATM Program”).</w:t>
      </w:r>
    </w:p>
    <w:p>
      <w:pPr>
        <w:spacing w:after="0" w:line="125" w:lineRule="exact"/>
        <w:rPr>
          <w:sz w:val="20"/>
          <w:szCs w:val="20"/>
          <w:color w:val="auto"/>
        </w:rPr>
      </w:pPr>
    </w:p>
    <w:p>
      <w:pPr>
        <w:ind w:firstLine="318"/>
        <w:spacing w:after="0" w:line="271" w:lineRule="auto"/>
        <w:rPr>
          <w:sz w:val="20"/>
          <w:szCs w:val="20"/>
          <w:color w:val="auto"/>
        </w:rPr>
      </w:pPr>
      <w:r>
        <w:rPr>
          <w:rFonts w:ascii="Arial" w:cs="Arial" w:eastAsia="Arial" w:hAnsi="Arial"/>
          <w:sz w:val="18"/>
          <w:szCs w:val="18"/>
          <w:color w:val="auto"/>
        </w:rPr>
        <w:t>Pursuant to the Equity Distribution Agreement, the Company may offer and sell common stock having an aggregate offering price of up to $200.0 million from time to time to or through B. Riley, subject to the Company’s compliance with applicable laws and the applicable requirements of the Equity Distribution Agreement. The Equity Distribution Agreement stipulates that the Company will pay B. Riley a commission equal to up to 3.0% of the gross offering proceeds of any shares of common stock sold to or through B. Riley pursuant to the Equity Distribution Agreement. The Company intends to use the net proceeds from sales of common stock issued under the ATM Program for general corporate and working capital purposes. The timing of any sales and the number of shares sold will depend on a variety of factors to be determined and considered by the Company. The Company is not obligated to sell any shares under the Equity Distribution Agreement.</w:t>
      </w:r>
    </w:p>
    <w:p>
      <w:pPr>
        <w:spacing w:after="0" w:line="139" w:lineRule="exact"/>
        <w:rPr>
          <w:sz w:val="20"/>
          <w:szCs w:val="20"/>
          <w:color w:val="auto"/>
        </w:rPr>
      </w:pPr>
    </w:p>
    <w:p>
      <w:pPr>
        <w:ind w:right="140" w:firstLine="318"/>
        <w:spacing w:after="0" w:line="281" w:lineRule="auto"/>
        <w:rPr>
          <w:sz w:val="20"/>
          <w:szCs w:val="20"/>
          <w:color w:val="auto"/>
        </w:rPr>
      </w:pPr>
      <w:r>
        <w:rPr>
          <w:rFonts w:ascii="Arial" w:cs="Arial" w:eastAsia="Arial" w:hAnsi="Arial"/>
          <w:sz w:val="17"/>
          <w:szCs w:val="17"/>
          <w:color w:val="auto"/>
        </w:rPr>
        <w:t>As of March 29, 2025 and December 31, 2024, 9,750,312 shares of common stock had been sold under the ATM Program since inception for an aggregate offering price of $48.3 million. There were no sales of common stock under the ATM Program in the three months ended March 29, 2025. Total issuance costs related to the ATM Program as of March 29, 2025 and December 31, 2024 were approximately</w:t>
      </w:r>
    </w:p>
    <w:p>
      <w:pPr>
        <w:spacing w:after="0" w:line="2" w:lineRule="exact"/>
        <w:rPr>
          <w:sz w:val="20"/>
          <w:szCs w:val="20"/>
          <w:color w:val="auto"/>
        </w:rPr>
      </w:pPr>
    </w:p>
    <w:p>
      <w:pPr>
        <w:ind w:right="40"/>
        <w:spacing w:after="0" w:line="282" w:lineRule="auto"/>
        <w:rPr>
          <w:sz w:val="20"/>
          <w:szCs w:val="20"/>
          <w:color w:val="auto"/>
        </w:rPr>
      </w:pPr>
      <w:r>
        <w:rPr>
          <w:rFonts w:ascii="Arial" w:cs="Arial" w:eastAsia="Arial" w:hAnsi="Arial"/>
          <w:sz w:val="17"/>
          <w:szCs w:val="17"/>
          <w:color w:val="auto"/>
        </w:rPr>
        <w:t>$3.3 million, resulting in aggregate net proceeds of approximately $45.0 million. Of the total issuance costs related to the ATM Program, $0 and $0.3 million remained unpaid as of March 29, 2025 and December 31, 2024, respectively. In the year ended December 31, 2024, approximately $1.6 million was capitalized to reflect the costs associated with the issuance of new shares of common stock and offset against proceeds from the ATM Program. Unamortized issuance costs related to the ATM Program included in Prepaid expenses and other current assets were</w:t>
      </w:r>
    </w:p>
    <w:p>
      <w:pPr>
        <w:spacing w:after="0" w:line="2"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color w:val="auto"/>
        </w:rPr>
        <w:t>$1.7 million as of March 29, 2025 and December 31, 2024. As of March 29, 2025 and December 31, 2024, approximately $201.7 million in capacity remained available under the 2024 Shelf Registration Statement.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Share-Based Compensation</w:t>
      </w:r>
    </w:p>
    <w:p>
      <w:pPr>
        <w:spacing w:after="0" w:line="179" w:lineRule="exact"/>
        <w:rPr>
          <w:sz w:val="20"/>
          <w:szCs w:val="20"/>
          <w:color w:val="auto"/>
        </w:rPr>
      </w:pPr>
    </w:p>
    <w:p>
      <w:pPr>
        <w:ind w:right="100" w:firstLine="318"/>
        <w:spacing w:after="0" w:line="272" w:lineRule="auto"/>
        <w:rPr>
          <w:sz w:val="20"/>
          <w:szCs w:val="20"/>
          <w:color w:val="auto"/>
        </w:rPr>
      </w:pPr>
      <w:r>
        <w:rPr>
          <w:rFonts w:ascii="Arial" w:cs="Arial" w:eastAsia="Arial" w:hAnsi="Arial"/>
          <w:sz w:val="18"/>
          <w:szCs w:val="18"/>
          <w:color w:val="auto"/>
        </w:rPr>
        <w:t>In 2019, the Company’s 2011 Equity Incentive Plan (the “2011 Equity Incentive Plan”) was amended, restated and re-named the 2018 Equity Incentive Plan (the “2018 Equity Incentive Plan”). The shares available for issuance under the 2011 Equity Incentive Plan were added to the shares reserved for issuance under the 2018 Equity Incentive Plan. As of January 1, 2025, the maximum aggregate number of shares that may be issued under the 2018 Equity Incentive Plan increased to 27,349,482 shares, which includes an increase of 2,144,521 shares effective January 1, 2025 under the terms of the 2018 Equity Incentive Plan.</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shares available for issuance under the 2018 Equity Incentive Plan:</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900" w:type="dxa"/>
            <w:vAlign w:val="bottom"/>
          </w:tcPr>
          <w:p>
            <w:pPr>
              <w:spacing w:after="0"/>
              <w:rPr>
                <w:sz w:val="16"/>
                <w:szCs w:val="16"/>
                <w:color w:val="auto"/>
              </w:rPr>
            </w:pPr>
          </w:p>
        </w:tc>
        <w:tc>
          <w:tcPr>
            <w:tcW w:w="2060" w:type="dxa"/>
            <w:vAlign w:val="bottom"/>
          </w:tcPr>
          <w:p>
            <w:pPr>
              <w:jc w:val="right"/>
              <w:ind w:right="174"/>
              <w:spacing w:after="0"/>
              <w:rPr>
                <w:sz w:val="20"/>
                <w:szCs w:val="20"/>
                <w:color w:val="auto"/>
              </w:rPr>
            </w:pPr>
            <w:r>
              <w:rPr>
                <w:rFonts w:ascii="Arial" w:cs="Arial" w:eastAsia="Arial" w:hAnsi="Arial"/>
                <w:sz w:val="16"/>
                <w:szCs w:val="16"/>
                <w:b w:val="1"/>
                <w:bCs w:val="1"/>
                <w:color w:val="auto"/>
              </w:rPr>
              <w:t>Shares Available for</w:t>
            </w:r>
          </w:p>
        </w:tc>
      </w:tr>
      <w:tr>
        <w:trPr>
          <w:trHeight w:val="212"/>
        </w:trPr>
        <w:tc>
          <w:tcPr>
            <w:tcW w:w="8900" w:type="dxa"/>
            <w:vAlign w:val="bottom"/>
            <w:tcBorders>
              <w:bottom w:val="single" w:sz="8" w:color="CCEEFF"/>
            </w:tcBorders>
          </w:tcPr>
          <w:p>
            <w:pPr>
              <w:spacing w:after="0"/>
              <w:rPr>
                <w:sz w:val="18"/>
                <w:szCs w:val="18"/>
                <w:color w:val="auto"/>
              </w:rPr>
            </w:pPr>
          </w:p>
        </w:tc>
        <w:tc>
          <w:tcPr>
            <w:tcW w:w="2060" w:type="dxa"/>
            <w:vAlign w:val="bottom"/>
            <w:tcBorders>
              <w:bottom w:val="single" w:sz="8" w:color="auto"/>
            </w:tcBorders>
          </w:tcPr>
          <w:p>
            <w:pPr>
              <w:jc w:val="right"/>
              <w:ind w:right="594"/>
              <w:spacing w:after="0"/>
              <w:rPr>
                <w:sz w:val="20"/>
                <w:szCs w:val="20"/>
                <w:color w:val="auto"/>
              </w:rPr>
            </w:pPr>
            <w:r>
              <w:rPr>
                <w:rFonts w:ascii="Arial" w:cs="Arial" w:eastAsia="Arial" w:hAnsi="Arial"/>
                <w:sz w:val="16"/>
                <w:szCs w:val="16"/>
                <w:b w:val="1"/>
                <w:bCs w:val="1"/>
                <w:color w:val="auto"/>
              </w:rPr>
              <w:t>Issuance</w:t>
            </w:r>
          </w:p>
        </w:tc>
      </w:tr>
      <w:tr>
        <w:trPr>
          <w:trHeight w:val="218"/>
        </w:trPr>
        <w:tc>
          <w:tcPr>
            <w:tcW w:w="8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 December 31, 2024</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7,489,593</w:t>
            </w:r>
          </w:p>
        </w:tc>
      </w:tr>
      <w:tr>
        <w:trPr>
          <w:trHeight w:val="225"/>
        </w:trPr>
        <w:tc>
          <w:tcPr>
            <w:tcW w:w="8900" w:type="dxa"/>
            <w:vAlign w:val="bottom"/>
          </w:tcPr>
          <w:p>
            <w:pPr>
              <w:ind w:left="20"/>
              <w:spacing w:after="0"/>
              <w:rPr>
                <w:sz w:val="20"/>
                <w:szCs w:val="20"/>
                <w:color w:val="auto"/>
              </w:rPr>
            </w:pPr>
            <w:r>
              <w:rPr>
                <w:rFonts w:ascii="Arial" w:cs="Arial" w:eastAsia="Arial" w:hAnsi="Arial"/>
                <w:sz w:val="18"/>
                <w:szCs w:val="18"/>
                <w:color w:val="auto"/>
              </w:rPr>
              <w:t>Authorized</w:t>
            </w:r>
          </w:p>
        </w:tc>
        <w:tc>
          <w:tcPr>
            <w:tcW w:w="2060" w:type="dxa"/>
            <w:vAlign w:val="bottom"/>
          </w:tcPr>
          <w:p>
            <w:pPr>
              <w:jc w:val="right"/>
              <w:spacing w:after="0"/>
              <w:rPr>
                <w:sz w:val="20"/>
                <w:szCs w:val="20"/>
                <w:color w:val="auto"/>
              </w:rPr>
            </w:pPr>
            <w:r>
              <w:rPr>
                <w:rFonts w:ascii="Arial" w:cs="Arial" w:eastAsia="Arial" w:hAnsi="Arial"/>
                <w:sz w:val="18"/>
                <w:szCs w:val="18"/>
                <w:color w:val="auto"/>
              </w:rPr>
              <w:t>2,144,521</w:t>
            </w:r>
          </w:p>
        </w:tc>
      </w:tr>
      <w:tr>
        <w:trPr>
          <w:trHeight w:val="225"/>
        </w:trPr>
        <w:tc>
          <w:tcPr>
            <w:tcW w:w="890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Granted</w:t>
            </w:r>
            <w:r>
              <w:rPr>
                <w:rFonts w:ascii="Arial" w:cs="Arial" w:eastAsia="Arial" w:hAnsi="Arial"/>
                <w:sz w:val="22"/>
                <w:szCs w:val="22"/>
                <w:color w:val="auto"/>
                <w:vertAlign w:val="superscript"/>
              </w:rPr>
              <w:t>(1)</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(206,663)</w:t>
            </w:r>
          </w:p>
        </w:tc>
      </w:tr>
      <w:tr>
        <w:trPr>
          <w:trHeight w:val="225"/>
        </w:trPr>
        <w:tc>
          <w:tcPr>
            <w:tcW w:w="8900" w:type="dxa"/>
            <w:vAlign w:val="bottom"/>
          </w:tcPr>
          <w:p>
            <w:pPr>
              <w:ind w:left="20"/>
              <w:spacing w:after="0"/>
              <w:rPr>
                <w:sz w:val="20"/>
                <w:szCs w:val="20"/>
                <w:color w:val="auto"/>
              </w:rPr>
            </w:pPr>
            <w:r>
              <w:rPr>
                <w:rFonts w:ascii="Arial" w:cs="Arial" w:eastAsia="Arial" w:hAnsi="Arial"/>
                <w:sz w:val="18"/>
                <w:szCs w:val="18"/>
                <w:color w:val="auto"/>
              </w:rPr>
              <w:t>Shares withheld to cover taxes</w:t>
            </w:r>
          </w:p>
        </w:tc>
        <w:tc>
          <w:tcPr>
            <w:tcW w:w="2060" w:type="dxa"/>
            <w:vAlign w:val="bottom"/>
          </w:tcPr>
          <w:p>
            <w:pPr>
              <w:jc w:val="right"/>
              <w:spacing w:after="0"/>
              <w:rPr>
                <w:sz w:val="20"/>
                <w:szCs w:val="20"/>
                <w:color w:val="auto"/>
              </w:rPr>
            </w:pPr>
            <w:r>
              <w:rPr>
                <w:rFonts w:ascii="Arial" w:cs="Arial" w:eastAsia="Arial" w:hAnsi="Arial"/>
                <w:sz w:val="18"/>
                <w:szCs w:val="18"/>
                <w:color w:val="auto"/>
              </w:rPr>
              <w:t>70,338</w:t>
            </w:r>
          </w:p>
        </w:tc>
      </w:tr>
      <w:tr>
        <w:trPr>
          <w:trHeight w:val="225"/>
        </w:trPr>
        <w:tc>
          <w:tcPr>
            <w:tcW w:w="890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Forfeited</w:t>
            </w:r>
            <w:r>
              <w:rPr>
                <w:rFonts w:ascii="Arial" w:cs="Arial" w:eastAsia="Arial" w:hAnsi="Arial"/>
                <w:sz w:val="22"/>
                <w:szCs w:val="22"/>
                <w:color w:val="auto"/>
                <w:vertAlign w:val="superscript"/>
              </w:rPr>
              <w:t>(2)</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562,368</w:t>
            </w:r>
          </w:p>
        </w:tc>
      </w:tr>
      <w:tr>
        <w:trPr>
          <w:trHeight w:val="218"/>
        </w:trPr>
        <w:tc>
          <w:tcPr>
            <w:tcW w:w="8900" w:type="dxa"/>
            <w:vAlign w:val="bottom"/>
          </w:tcPr>
          <w:p>
            <w:pPr>
              <w:ind w:left="20"/>
              <w:spacing w:after="0"/>
              <w:rPr>
                <w:sz w:val="20"/>
                <w:szCs w:val="20"/>
                <w:color w:val="auto"/>
              </w:rPr>
            </w:pPr>
            <w:r>
              <w:rPr>
                <w:rFonts w:ascii="Arial" w:cs="Arial" w:eastAsia="Arial" w:hAnsi="Arial"/>
                <w:sz w:val="18"/>
                <w:szCs w:val="18"/>
                <w:color w:val="auto"/>
              </w:rPr>
              <w:t>Balance - March 29, 2025</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10,060,157</w:t>
            </w:r>
          </w:p>
        </w:tc>
      </w:tr>
      <w:tr>
        <w:trPr>
          <w:trHeight w:val="20"/>
        </w:trPr>
        <w:tc>
          <w:tcPr>
            <w:tcW w:w="89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____________</w:t>
      </w:r>
    </w:p>
    <w:p>
      <w:pPr>
        <w:spacing w:after="0" w:line="26" w:lineRule="exact"/>
        <w:rPr>
          <w:sz w:val="20"/>
          <w:szCs w:val="20"/>
          <w:color w:val="auto"/>
        </w:rPr>
      </w:pPr>
    </w:p>
    <w:p>
      <w:pPr>
        <w:ind w:left="240" w:hanging="234"/>
        <w:spacing w:after="0"/>
        <w:tabs>
          <w:tab w:leader="none" w:pos="2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145,660 shares reserved for issuance pursuant to PSUs if 200% of the applicable performance target is achieved.</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41" w:lineRule="exact"/>
        <w:rPr>
          <w:rFonts w:ascii="Arial" w:cs="Arial" w:eastAsia="Arial" w:hAnsi="Arial"/>
          <w:sz w:val="16"/>
          <w:szCs w:val="16"/>
          <w:color w:val="auto"/>
        </w:rPr>
      </w:pPr>
    </w:p>
    <w:p>
      <w:pPr>
        <w:ind w:left="5520"/>
        <w:spacing w:after="0"/>
        <w:rPr>
          <w:rFonts w:ascii="Arial" w:cs="Arial" w:eastAsia="Arial" w:hAnsi="Arial"/>
          <w:sz w:val="16"/>
          <w:szCs w:val="16"/>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40" w:right="200" w:hanging="234"/>
        <w:spacing w:after="0" w:line="275" w:lineRule="auto"/>
        <w:tabs>
          <w:tab w:leader="none" w:pos="2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Includes forfeiture of an additional 80,307 shares reserved for issuance for a potential 200% achievement of the Tranche I award. See </w:t>
      </w:r>
      <w:r>
        <w:rPr>
          <w:rFonts w:ascii="Arial" w:cs="Arial" w:eastAsia="Arial" w:hAnsi="Arial"/>
          <w:sz w:val="16"/>
          <w:szCs w:val="16"/>
          <w:i w:val="1"/>
          <w:iCs w:val="1"/>
          <w:color w:val="auto"/>
        </w:rPr>
        <w:t>Performance Stock</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Units </w:t>
      </w:r>
      <w:r>
        <w:rPr>
          <w:rFonts w:ascii="Arial" w:cs="Arial" w:eastAsia="Arial" w:hAnsi="Arial"/>
          <w:sz w:val="16"/>
          <w:szCs w:val="16"/>
          <w:color w:val="auto"/>
        </w:rPr>
        <w:t>below.</w:t>
      </w:r>
    </w:p>
    <w:p>
      <w:pPr>
        <w:spacing w:after="0" w:line="318" w:lineRule="exact"/>
        <w:rPr>
          <w:sz w:val="20"/>
          <w:szCs w:val="20"/>
          <w:color w:val="auto"/>
        </w:rPr>
      </w:pPr>
    </w:p>
    <w:p>
      <w:pPr>
        <w:ind w:right="80" w:firstLine="318"/>
        <w:spacing w:after="0" w:line="270" w:lineRule="auto"/>
        <w:rPr>
          <w:sz w:val="20"/>
          <w:szCs w:val="20"/>
          <w:color w:val="auto"/>
        </w:rPr>
      </w:pPr>
      <w:r>
        <w:rPr>
          <w:rFonts w:ascii="Arial" w:cs="Arial" w:eastAsia="Arial" w:hAnsi="Arial"/>
          <w:sz w:val="18"/>
          <w:szCs w:val="18"/>
          <w:color w:val="auto"/>
        </w:rPr>
        <w:t>As of March 29, 2025 and December 31, 2024, there were 4,211,947 and 4,392,460 shares, respectively, issuable under stock options outstanding; 1,805,678 and 2,241,231 shares, respectively, issuable under unvested restricted stock units (“RSUs”) outstanding; 145,660 and 225,967 shares, respectively, issuable under unvested PSUs outstanding; 145,660 and 225,967 shares, respectively, reserved for issuance under unvested PSUs outstanding if 200% of the applicable performance target is achieved; 11,269,442 and 10,837,816 shares, respectively, issued for stock option exercises, RSU settlement and restricted stock grants; and 10,060,157 and 7,489,593 shares, respectively, available for grant under the 2018 Equity Incentive Plan.</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Stock Options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Following are the assumptions used in the Black-Scholes valuation model for options granted during the periods shown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60" w:type="dxa"/>
            <w:vAlign w:val="bottom"/>
          </w:tcPr>
          <w:p>
            <w:pPr>
              <w:spacing w:after="0"/>
              <w:rPr>
                <w:sz w:val="18"/>
                <w:szCs w:val="18"/>
                <w:color w:val="auto"/>
              </w:rPr>
            </w:pPr>
          </w:p>
        </w:tc>
        <w:tc>
          <w:tcPr>
            <w:tcW w:w="3080" w:type="dxa"/>
            <w:vAlign w:val="bottom"/>
            <w:tcBorders>
              <w:bottom w:val="single" w:sz="8" w:color="auto"/>
            </w:tcBorders>
            <w:gridSpan w:val="2"/>
          </w:tcPr>
          <w:p>
            <w:pPr>
              <w:ind w:left="760"/>
              <w:spacing w:after="0"/>
              <w:rPr>
                <w:sz w:val="20"/>
                <w:szCs w:val="20"/>
                <w:color w:val="auto"/>
              </w:rPr>
            </w:pPr>
            <w:r>
              <w:rPr>
                <w:rFonts w:ascii="Arial" w:cs="Arial" w:eastAsia="Arial" w:hAnsi="Arial"/>
                <w:sz w:val="16"/>
                <w:szCs w:val="16"/>
                <w:b w:val="1"/>
                <w:bCs w:val="1"/>
                <w:color w:val="auto"/>
              </w:rPr>
              <w:t>Three Months Ended</w:t>
            </w:r>
          </w:p>
        </w:tc>
      </w:tr>
      <w:tr>
        <w:trPr>
          <w:trHeight w:val="205"/>
        </w:trPr>
        <w:tc>
          <w:tcPr>
            <w:tcW w:w="816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March 29, 2025</w:t>
            </w:r>
          </w:p>
        </w:tc>
        <w:tc>
          <w:tcPr>
            <w:tcW w:w="154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March 30, 2024</w:t>
            </w:r>
          </w:p>
        </w:tc>
      </w:tr>
      <w:tr>
        <w:trPr>
          <w:trHeight w:val="218"/>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4.3%</w:t>
            </w:r>
          </w:p>
        </w:tc>
      </w:tr>
      <w:tr>
        <w:trPr>
          <w:trHeight w:val="225"/>
        </w:trPr>
        <w:tc>
          <w:tcPr>
            <w:tcW w:w="8160" w:type="dxa"/>
            <w:vAlign w:val="bottom"/>
          </w:tcPr>
          <w:p>
            <w:pPr>
              <w:ind w:left="20"/>
              <w:spacing w:after="0"/>
              <w:rPr>
                <w:sz w:val="20"/>
                <w:szCs w:val="20"/>
                <w:color w:val="auto"/>
              </w:rPr>
            </w:pPr>
            <w:r>
              <w:rPr>
                <w:rFonts w:ascii="Arial" w:cs="Arial" w:eastAsia="Arial" w:hAnsi="Arial"/>
                <w:sz w:val="18"/>
                <w:szCs w:val="18"/>
                <w:color w:val="auto"/>
              </w:rPr>
              <w:t>Average expected term (years)</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1540" w:type="dxa"/>
            <w:vAlign w:val="bottom"/>
          </w:tcPr>
          <w:p>
            <w:pPr>
              <w:jc w:val="center"/>
              <w:spacing w:after="0"/>
              <w:rPr>
                <w:sz w:val="20"/>
                <w:szCs w:val="20"/>
                <w:color w:val="auto"/>
              </w:rPr>
            </w:pPr>
            <w:r>
              <w:rPr>
                <w:rFonts w:ascii="Arial" w:cs="Arial" w:eastAsia="Arial" w:hAnsi="Arial"/>
                <w:sz w:val="18"/>
                <w:szCs w:val="18"/>
                <w:color w:val="auto"/>
                <w:w w:val="95"/>
              </w:rPr>
              <w:t>7.0</w:t>
            </w:r>
          </w:p>
        </w:tc>
      </w:tr>
      <w:tr>
        <w:trPr>
          <w:trHeight w:val="225"/>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55.0%</w:t>
            </w:r>
          </w:p>
        </w:tc>
      </w:tr>
      <w:tr>
        <w:trPr>
          <w:trHeight w:val="232"/>
        </w:trPr>
        <w:tc>
          <w:tcPr>
            <w:tcW w:w="816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15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w:t>
            </w:r>
          </w:p>
        </w:tc>
      </w:tr>
    </w:tbl>
    <w:p>
      <w:pPr>
        <w:spacing w:after="0" w:line="200" w:lineRule="exact"/>
        <w:rPr>
          <w:sz w:val="20"/>
          <w:szCs w:val="20"/>
          <w:color w:val="auto"/>
        </w:rPr>
      </w:pPr>
    </w:p>
    <w:p>
      <w:pPr>
        <w:spacing w:after="0" w:line="201" w:lineRule="exact"/>
        <w:rPr>
          <w:sz w:val="20"/>
          <w:szCs w:val="20"/>
          <w:color w:val="auto"/>
        </w:rPr>
      </w:pPr>
    </w:p>
    <w:p>
      <w:pPr>
        <w:ind w:right="120" w:firstLine="318"/>
        <w:spacing w:after="0" w:line="283" w:lineRule="auto"/>
        <w:rPr>
          <w:sz w:val="20"/>
          <w:szCs w:val="20"/>
          <w:color w:val="auto"/>
        </w:rPr>
      </w:pPr>
      <w:r>
        <w:rPr>
          <w:rFonts w:ascii="Arial" w:cs="Arial" w:eastAsia="Arial" w:hAnsi="Arial"/>
          <w:sz w:val="18"/>
          <w:szCs w:val="18"/>
          <w:color w:val="auto"/>
        </w:rPr>
        <w:t>There were no option grants to employees in the three months ended March 29, 2025. Option grants to employees in the three months ended March 30, 2024 generally vest 25% of the total award on the first anniversary of the vesting commencement date, and thereafter ratably vesting monthly over the remaining three-year period, subject to continued employment through the vesting date.</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Company’s stock option activity during the three months ended March 29, 2025:</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80" w:type="dxa"/>
            <w:vAlign w:val="bottom"/>
          </w:tcPr>
          <w:p>
            <w:pPr>
              <w:spacing w:after="0"/>
              <w:rPr>
                <w:sz w:val="16"/>
                <w:szCs w:val="16"/>
                <w:color w:val="auto"/>
              </w:rPr>
            </w:pPr>
          </w:p>
        </w:tc>
        <w:tc>
          <w:tcPr>
            <w:tcW w:w="13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Number</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6"/>
                <w:szCs w:val="16"/>
                <w:b w:val="1"/>
                <w:bCs w:val="1"/>
                <w:color w:val="auto"/>
                <w:w w:val="99"/>
              </w:rPr>
              <w:t>Weighted</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Weighted</w:t>
            </w:r>
          </w:p>
        </w:tc>
        <w:tc>
          <w:tcPr>
            <w:tcW w:w="200" w:type="dxa"/>
            <w:vAlign w:val="bottom"/>
          </w:tcPr>
          <w:p>
            <w:pPr>
              <w:spacing w:after="0"/>
              <w:rPr>
                <w:sz w:val="16"/>
                <w:szCs w:val="16"/>
                <w:color w:val="auto"/>
              </w:rPr>
            </w:pPr>
          </w:p>
        </w:tc>
        <w:tc>
          <w:tcPr>
            <w:tcW w:w="1340" w:type="dxa"/>
            <w:vAlign w:val="bottom"/>
            <w:vMerge w:val="restart"/>
          </w:tcPr>
          <w:p>
            <w:pPr>
              <w:jc w:val="center"/>
              <w:ind w:right="115"/>
              <w:spacing w:after="0"/>
              <w:rPr>
                <w:sz w:val="20"/>
                <w:szCs w:val="20"/>
                <w:color w:val="auto"/>
              </w:rPr>
            </w:pPr>
            <w:r>
              <w:rPr>
                <w:rFonts w:ascii="Arial" w:cs="Arial" w:eastAsia="Arial" w:hAnsi="Arial"/>
                <w:sz w:val="16"/>
                <w:szCs w:val="16"/>
                <w:b w:val="1"/>
                <w:bCs w:val="1"/>
                <w:color w:val="auto"/>
                <w:w w:val="98"/>
              </w:rPr>
              <w:t>Aggregate</w:t>
            </w:r>
          </w:p>
        </w:tc>
        <w:tc>
          <w:tcPr>
            <w:tcW w:w="0" w:type="dxa"/>
            <w:vAlign w:val="bottom"/>
          </w:tcPr>
          <w:p>
            <w:pPr>
              <w:spacing w:after="0"/>
              <w:rPr>
                <w:sz w:val="1"/>
                <w:szCs w:val="1"/>
                <w:color w:val="auto"/>
              </w:rPr>
            </w:pPr>
          </w:p>
        </w:tc>
      </w:tr>
      <w:tr>
        <w:trPr>
          <w:trHeight w:val="159"/>
        </w:trPr>
        <w:tc>
          <w:tcPr>
            <w:tcW w:w="528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460" w:type="dxa"/>
            <w:vAlign w:val="bottom"/>
            <w:gridSpan w:val="2"/>
          </w:tcPr>
          <w:p>
            <w:pPr>
              <w:jc w:val="center"/>
              <w:ind w:right="120"/>
              <w:spacing w:after="0" w:line="159" w:lineRule="exact"/>
              <w:rPr>
                <w:sz w:val="20"/>
                <w:szCs w:val="20"/>
                <w:color w:val="auto"/>
              </w:rPr>
            </w:pPr>
            <w:r>
              <w:rPr>
                <w:rFonts w:ascii="Arial" w:cs="Arial" w:eastAsia="Arial" w:hAnsi="Arial"/>
                <w:sz w:val="16"/>
                <w:szCs w:val="16"/>
                <w:b w:val="1"/>
                <w:bCs w:val="1"/>
                <w:color w:val="auto"/>
                <w:w w:val="98"/>
              </w:rPr>
              <w:t>Average</w:t>
            </w:r>
          </w:p>
        </w:tc>
        <w:tc>
          <w:tcPr>
            <w:tcW w:w="20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280" w:type="dxa"/>
            <w:vAlign w:val="bottom"/>
          </w:tcPr>
          <w:p>
            <w:pPr>
              <w:spacing w:after="0"/>
              <w:rPr>
                <w:sz w:val="13"/>
                <w:szCs w:val="13"/>
                <w:color w:val="auto"/>
              </w:rPr>
            </w:pPr>
          </w:p>
        </w:tc>
        <w:tc>
          <w:tcPr>
            <w:tcW w:w="136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rPr>
              <w:t>of</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40"/>
              <w:spacing w:after="0" w:line="159" w:lineRule="exact"/>
              <w:rPr>
                <w:sz w:val="20"/>
                <w:szCs w:val="20"/>
                <w:color w:val="auto"/>
              </w:rPr>
            </w:pPr>
            <w:r>
              <w:rPr>
                <w:rFonts w:ascii="Arial" w:cs="Arial" w:eastAsia="Arial" w:hAnsi="Arial"/>
                <w:sz w:val="16"/>
                <w:szCs w:val="16"/>
                <w:b w:val="1"/>
                <w:bCs w:val="1"/>
                <w:color w:val="auto"/>
              </w:rPr>
              <w:t>Average</w:t>
            </w:r>
          </w:p>
        </w:tc>
        <w:tc>
          <w:tcPr>
            <w:tcW w:w="146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97"/>
              </w:rPr>
              <w:t>Remaining</w:t>
            </w:r>
          </w:p>
        </w:tc>
        <w:tc>
          <w:tcPr>
            <w:tcW w:w="200" w:type="dxa"/>
            <w:vAlign w:val="bottom"/>
          </w:tcPr>
          <w:p>
            <w:pPr>
              <w:spacing w:after="0"/>
              <w:rPr>
                <w:sz w:val="13"/>
                <w:szCs w:val="13"/>
                <w:color w:val="auto"/>
              </w:rPr>
            </w:pPr>
          </w:p>
        </w:tc>
        <w:tc>
          <w:tcPr>
            <w:tcW w:w="1340" w:type="dxa"/>
            <w:vAlign w:val="bottom"/>
          </w:tcPr>
          <w:p>
            <w:pPr>
              <w:jc w:val="center"/>
              <w:ind w:right="115"/>
              <w:spacing w:after="0" w:line="159" w:lineRule="exact"/>
              <w:rPr>
                <w:sz w:val="20"/>
                <w:szCs w:val="20"/>
                <w:color w:val="auto"/>
              </w:rPr>
            </w:pPr>
            <w:r>
              <w:rPr>
                <w:rFonts w:ascii="Arial" w:cs="Arial" w:eastAsia="Arial" w:hAnsi="Arial"/>
                <w:sz w:val="16"/>
                <w:szCs w:val="16"/>
                <w:b w:val="1"/>
                <w:bCs w:val="1"/>
                <w:color w:val="auto"/>
                <w:w w:val="99"/>
              </w:rPr>
              <w:t>Intrinsic</w:t>
            </w:r>
          </w:p>
        </w:tc>
        <w:tc>
          <w:tcPr>
            <w:tcW w:w="0" w:type="dxa"/>
            <w:vAlign w:val="bottom"/>
          </w:tcPr>
          <w:p>
            <w:pPr>
              <w:spacing w:after="0"/>
              <w:rPr>
                <w:sz w:val="1"/>
                <w:szCs w:val="1"/>
                <w:color w:val="auto"/>
              </w:rPr>
            </w:pPr>
          </w:p>
        </w:tc>
      </w:tr>
      <w:tr>
        <w:trPr>
          <w:trHeight w:val="159"/>
        </w:trPr>
        <w:tc>
          <w:tcPr>
            <w:tcW w:w="5280" w:type="dxa"/>
            <w:vAlign w:val="bottom"/>
          </w:tcPr>
          <w:p>
            <w:pPr>
              <w:spacing w:after="0"/>
              <w:rPr>
                <w:sz w:val="13"/>
                <w:szCs w:val="13"/>
                <w:color w:val="auto"/>
              </w:rPr>
            </w:pPr>
          </w:p>
        </w:tc>
        <w:tc>
          <w:tcPr>
            <w:tcW w:w="1360" w:type="dxa"/>
            <w:vAlign w:val="bottom"/>
          </w:tcPr>
          <w:p>
            <w:pPr>
              <w:jc w:val="center"/>
              <w:spacing w:after="0" w:line="159" w:lineRule="exact"/>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40"/>
              <w:spacing w:after="0" w:line="159" w:lineRule="exact"/>
              <w:rPr>
                <w:sz w:val="20"/>
                <w:szCs w:val="20"/>
                <w:color w:val="auto"/>
              </w:rPr>
            </w:pPr>
            <w:r>
              <w:rPr>
                <w:rFonts w:ascii="Arial" w:cs="Arial" w:eastAsia="Arial" w:hAnsi="Arial"/>
                <w:sz w:val="16"/>
                <w:szCs w:val="16"/>
                <w:b w:val="1"/>
                <w:bCs w:val="1"/>
                <w:color w:val="auto"/>
                <w:w w:val="97"/>
              </w:rPr>
              <w:t>Exercise</w:t>
            </w:r>
          </w:p>
        </w:tc>
        <w:tc>
          <w:tcPr>
            <w:tcW w:w="1460" w:type="dxa"/>
            <w:vAlign w:val="bottom"/>
            <w:gridSpan w:val="2"/>
          </w:tcPr>
          <w:p>
            <w:pPr>
              <w:jc w:val="center"/>
              <w:ind w:right="100"/>
              <w:spacing w:after="0" w:line="159" w:lineRule="exact"/>
              <w:rPr>
                <w:sz w:val="20"/>
                <w:szCs w:val="20"/>
                <w:color w:val="auto"/>
              </w:rPr>
            </w:pPr>
            <w:r>
              <w:rPr>
                <w:rFonts w:ascii="Arial" w:cs="Arial" w:eastAsia="Arial" w:hAnsi="Arial"/>
                <w:sz w:val="16"/>
                <w:szCs w:val="16"/>
                <w:b w:val="1"/>
                <w:bCs w:val="1"/>
                <w:color w:val="auto"/>
                <w:w w:val="98"/>
              </w:rPr>
              <w:t>Contractual</w:t>
            </w:r>
          </w:p>
        </w:tc>
        <w:tc>
          <w:tcPr>
            <w:tcW w:w="200" w:type="dxa"/>
            <w:vAlign w:val="bottom"/>
          </w:tcPr>
          <w:p>
            <w:pPr>
              <w:spacing w:after="0"/>
              <w:rPr>
                <w:sz w:val="13"/>
                <w:szCs w:val="13"/>
                <w:color w:val="auto"/>
              </w:rPr>
            </w:pPr>
          </w:p>
        </w:tc>
        <w:tc>
          <w:tcPr>
            <w:tcW w:w="1340" w:type="dxa"/>
            <w:vAlign w:val="bottom"/>
          </w:tcPr>
          <w:p>
            <w:pPr>
              <w:jc w:val="center"/>
              <w:ind w:right="115"/>
              <w:spacing w:after="0" w:line="159" w:lineRule="exact"/>
              <w:rPr>
                <w:sz w:val="20"/>
                <w:szCs w:val="20"/>
                <w:color w:val="auto"/>
              </w:rPr>
            </w:pPr>
            <w:r>
              <w:rPr>
                <w:rFonts w:ascii="Arial" w:cs="Arial" w:eastAsia="Arial" w:hAnsi="Arial"/>
                <w:sz w:val="16"/>
                <w:szCs w:val="16"/>
                <w:b w:val="1"/>
                <w:bCs w:val="1"/>
                <w:color w:val="auto"/>
                <w:w w:val="98"/>
              </w:rPr>
              <w:t>Value (in</w:t>
            </w:r>
          </w:p>
        </w:tc>
        <w:tc>
          <w:tcPr>
            <w:tcW w:w="0" w:type="dxa"/>
            <w:vAlign w:val="bottom"/>
          </w:tcPr>
          <w:p>
            <w:pPr>
              <w:spacing w:after="0"/>
              <w:rPr>
                <w:sz w:val="1"/>
                <w:szCs w:val="1"/>
                <w:color w:val="auto"/>
              </w:rPr>
            </w:pPr>
          </w:p>
        </w:tc>
      </w:tr>
      <w:tr>
        <w:trPr>
          <w:trHeight w:val="212"/>
        </w:trPr>
        <w:tc>
          <w:tcPr>
            <w:tcW w:w="52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9"/>
              </w:rPr>
              <w:t>Options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Price</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Life (Years)</w:t>
            </w:r>
          </w:p>
        </w:tc>
        <w:tc>
          <w:tcPr>
            <w:tcW w:w="200" w:type="dxa"/>
            <w:vAlign w:val="bottom"/>
          </w:tcPr>
          <w:p>
            <w:pPr>
              <w:spacing w:after="0"/>
              <w:rPr>
                <w:sz w:val="18"/>
                <w:szCs w:val="18"/>
                <w:color w:val="auto"/>
              </w:rPr>
            </w:pPr>
          </w:p>
        </w:tc>
        <w:tc>
          <w:tcPr>
            <w:tcW w:w="1340" w:type="dxa"/>
            <w:vAlign w:val="bottom"/>
          </w:tcPr>
          <w:p>
            <w:pPr>
              <w:jc w:val="center"/>
              <w:ind w:right="115"/>
              <w:spacing w:after="0" w:line="212" w:lineRule="exact"/>
              <w:rPr>
                <w:sz w:val="20"/>
                <w:szCs w:val="20"/>
                <w:color w:val="auto"/>
              </w:rPr>
            </w:pPr>
            <w:r>
              <w:rPr>
                <w:rFonts w:ascii="Arial" w:cs="Arial" w:eastAsia="Arial" w:hAnsi="Arial"/>
                <w:sz w:val="16"/>
                <w:szCs w:val="16"/>
                <w:b w:val="1"/>
                <w:bCs w:val="1"/>
                <w:color w:val="auto"/>
                <w:w w:val="95"/>
              </w:rPr>
              <w:t>thousands)</w:t>
            </w:r>
            <w:r>
              <w:rPr>
                <w:rFonts w:ascii="Arial" w:cs="Arial" w:eastAsia="Arial" w:hAnsi="Arial"/>
                <w:sz w:val="20"/>
                <w:szCs w:val="20"/>
                <w:b w:val="1"/>
                <w:bCs w:val="1"/>
                <w:color w:val="auto"/>
                <w:w w:val="95"/>
                <w:vertAlign w:val="superscript"/>
              </w:rPr>
              <w:t>(1)</w:t>
            </w:r>
          </w:p>
        </w:tc>
        <w:tc>
          <w:tcPr>
            <w:tcW w:w="0" w:type="dxa"/>
            <w:vAlign w:val="bottom"/>
          </w:tcPr>
          <w:p>
            <w:pPr>
              <w:spacing w:after="0"/>
              <w:rPr>
                <w:sz w:val="1"/>
                <w:szCs w:val="1"/>
                <w:color w:val="auto"/>
              </w:rPr>
            </w:pPr>
          </w:p>
        </w:tc>
      </w:tr>
      <w:tr>
        <w:trPr>
          <w:trHeight w:val="218"/>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December 31, 2024</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4,392,460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24.44</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6.5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25"/>
        </w:trPr>
        <w:tc>
          <w:tcPr>
            <w:tcW w:w="5280" w:type="dxa"/>
            <w:vAlign w:val="bottom"/>
          </w:tcPr>
          <w:p>
            <w:pPr>
              <w:ind w:left="2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Canceled/Forfeited</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(180,513)</w:t>
            </w:r>
          </w:p>
        </w:tc>
        <w:tc>
          <w:tcPr>
            <w:tcW w:w="340" w:type="dxa"/>
            <w:vAlign w:val="bottom"/>
            <w:tcBorders>
              <w:bottom w:val="single" w:sz="8" w:color="CCEEFF"/>
            </w:tcBorders>
            <w:gridSpan w:val="2"/>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12.68</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at March 29, 2025</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4,211,947</w:t>
            </w:r>
          </w:p>
        </w:tc>
        <w:tc>
          <w:tcPr>
            <w:tcW w:w="340" w:type="dxa"/>
            <w:vAlign w:val="bottom"/>
            <w:tcBorders>
              <w:bottom w:val="single" w:sz="8" w:color="CCEEFF"/>
            </w:tcBorders>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6.1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Vested and exercisable at March 29, 2025</w:t>
            </w: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CCEEFF"/>
            </w:tcBorders>
            <w:gridSpan w:val="2"/>
            <w:vMerge w:val="restart"/>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30.30</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36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8"/>
                <w:szCs w:val="18"/>
                <w:color w:val="auto"/>
                <w:w w:val="95"/>
              </w:rPr>
              <w:t>5.0</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line="20" w:lineRule="exact"/>
              <w:rPr>
                <w:sz w:val="1"/>
                <w:szCs w:val="1"/>
                <w:color w:val="auto"/>
              </w:rPr>
            </w:pPr>
          </w:p>
        </w:tc>
      </w:tr>
      <w:tr>
        <w:trPr>
          <w:trHeight w:val="198"/>
        </w:trPr>
        <w:tc>
          <w:tcPr>
            <w:tcW w:w="5280" w:type="dxa"/>
            <w:vAlign w:val="bottom"/>
            <w:vMerge w:val="continue"/>
          </w:tcPr>
          <w:p>
            <w:pPr>
              <w:spacing w:after="0"/>
              <w:rPr>
                <w:sz w:val="17"/>
                <w:szCs w:val="17"/>
                <w:color w:val="auto"/>
              </w:rPr>
            </w:pPr>
          </w:p>
        </w:tc>
        <w:tc>
          <w:tcPr>
            <w:tcW w:w="1360" w:type="dxa"/>
            <w:vAlign w:val="bottom"/>
          </w:tcPr>
          <w:p>
            <w:pPr>
              <w:jc w:val="right"/>
              <w:spacing w:after="0" w:line="198" w:lineRule="exact"/>
              <w:rPr>
                <w:sz w:val="20"/>
                <w:szCs w:val="20"/>
                <w:color w:val="auto"/>
              </w:rPr>
            </w:pPr>
            <w:r>
              <w:rPr>
                <w:rFonts w:ascii="Arial" w:cs="Arial" w:eastAsia="Arial" w:hAnsi="Arial"/>
                <w:sz w:val="18"/>
                <w:szCs w:val="18"/>
                <w:color w:val="auto"/>
              </w:rPr>
              <w:t>2,878,851</w:t>
            </w:r>
          </w:p>
        </w:tc>
        <w:tc>
          <w:tcPr>
            <w:tcW w:w="340" w:type="dxa"/>
            <w:vAlign w:val="bottom"/>
            <w:gridSpan w:val="2"/>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Vested and expected to vest at March 29, 2025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3,896,959</w:t>
            </w: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75"/>
        </w:trPr>
        <w:tc>
          <w:tcPr>
            <w:tcW w:w="5280" w:type="dxa"/>
            <w:vAlign w:val="bottom"/>
          </w:tcPr>
          <w:p>
            <w:pPr>
              <w:spacing w:after="0"/>
              <w:rPr>
                <w:sz w:val="20"/>
                <w:szCs w:val="20"/>
                <w:color w:val="auto"/>
              </w:rPr>
            </w:pPr>
            <w:r>
              <w:rPr>
                <w:rFonts w:ascii="Arial" w:cs="Arial" w:eastAsia="Arial" w:hAnsi="Arial"/>
                <w:sz w:val="16"/>
                <w:szCs w:val="16"/>
                <w:color w:val="auto"/>
              </w:rPr>
              <w:t>____________</w:t>
            </w: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240" w:right="80" w:hanging="234"/>
        <w:spacing w:after="0" w:line="254" w:lineRule="auto"/>
        <w:tabs>
          <w:tab w:leader="none" w:pos="2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Aggregate intrinsic value is calculated as the difference between the value of common stock on the transaction date and the exercise price multiplied by the number of shares issuable under the stock option. Aggregate intrinsic value of shares outstanding at the beginning and end of the reporting period is calculated as the difference between the value of common stock on the beginning and end dates, respectively, and the exercise price multiplied by the number of shares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firstLine="318"/>
        <w:spacing w:after="0" w:line="283" w:lineRule="auto"/>
        <w:rPr>
          <w:sz w:val="20"/>
          <w:szCs w:val="20"/>
          <w:color w:val="auto"/>
        </w:rPr>
      </w:pPr>
      <w:r>
        <w:rPr>
          <w:rFonts w:ascii="Arial" w:cs="Arial" w:eastAsia="Arial" w:hAnsi="Arial"/>
          <w:sz w:val="18"/>
          <w:szCs w:val="18"/>
          <w:color w:val="auto"/>
        </w:rPr>
        <w:t>In the three months ended March 29, 2025 and March 30, 2024, the Company recorded $2.0 million and $1.9 million, respectively, of share-based compensation expense related to options. The share-based compensation expense is included in cost of goods sold, research and development expenses and SG&amp;A expenses in the Company’s condensed consolidated statements of operations.</w:t>
      </w:r>
    </w:p>
    <w:p>
      <w:pPr>
        <w:spacing w:after="0" w:line="116" w:lineRule="exact"/>
        <w:rPr>
          <w:sz w:val="20"/>
          <w:szCs w:val="20"/>
          <w:color w:val="auto"/>
        </w:rPr>
      </w:pPr>
    </w:p>
    <w:p>
      <w:pPr>
        <w:ind w:right="320" w:firstLine="318"/>
        <w:spacing w:after="0" w:line="290" w:lineRule="auto"/>
        <w:rPr>
          <w:sz w:val="20"/>
          <w:szCs w:val="20"/>
          <w:color w:val="auto"/>
        </w:rPr>
      </w:pPr>
      <w:r>
        <w:rPr>
          <w:rFonts w:ascii="Arial" w:cs="Arial" w:eastAsia="Arial" w:hAnsi="Arial"/>
          <w:sz w:val="18"/>
          <w:szCs w:val="18"/>
          <w:color w:val="auto"/>
        </w:rPr>
        <w:t>As of March 29, 2025, there was $8.6 million in unrecognized compensation expense related to nonvested stock option awards which is expected to be recognized over a weighted average vesting period of 1.0 years.</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77" w:lineRule="exact"/>
        <w:rPr>
          <w:sz w:val="20"/>
          <w:szCs w:val="20"/>
          <w:color w:val="auto"/>
        </w:rPr>
      </w:pPr>
    </w:p>
    <w:p>
      <w:pPr>
        <w:ind w:right="100" w:firstLine="318"/>
        <w:spacing w:after="0" w:line="272" w:lineRule="auto"/>
        <w:rPr>
          <w:sz w:val="20"/>
          <w:szCs w:val="20"/>
          <w:color w:val="auto"/>
        </w:rPr>
      </w:pPr>
      <w:r>
        <w:rPr>
          <w:rFonts w:ascii="Arial" w:cs="Arial" w:eastAsia="Arial" w:hAnsi="Arial"/>
          <w:sz w:val="18"/>
          <w:szCs w:val="18"/>
          <w:color w:val="auto"/>
        </w:rPr>
        <w:t>RSU grants to new employees in the three months ended March 29, 2025 generally vest: (i) 25% of the total award on the first anniversary of the vesting commencement date, and thereafter vest quarterly over the remaining three years of the award; or (ii) 50% of the total award on the first anniversary of the vesting commencement date, and thereafter vest quarterly over the remaining four quarters of the award, each subject to continued employment through the vesting date. RSU grants to a non-employee consultant and a brand ambassador in the three months ended March 29, 2025 vest on varying dates, subject to continued service through the vesting dates.</w:t>
      </w:r>
    </w:p>
    <w:p>
      <w:pPr>
        <w:spacing w:after="0" w:line="112" w:lineRule="exact"/>
        <w:rPr>
          <w:sz w:val="20"/>
          <w:szCs w:val="20"/>
          <w:color w:val="auto"/>
        </w:rPr>
      </w:pPr>
    </w:p>
    <w:p>
      <w:pPr>
        <w:ind w:right="160" w:firstLine="318"/>
        <w:spacing w:after="0" w:line="263" w:lineRule="auto"/>
        <w:rPr>
          <w:sz w:val="20"/>
          <w:szCs w:val="20"/>
          <w:color w:val="auto"/>
        </w:rPr>
      </w:pPr>
      <w:r>
        <w:rPr>
          <w:rFonts w:ascii="Arial" w:cs="Arial" w:eastAsia="Arial" w:hAnsi="Arial"/>
          <w:sz w:val="18"/>
          <w:szCs w:val="18"/>
          <w:color w:val="auto"/>
        </w:rPr>
        <w:t>RSU grants to employees in the three months ended March 30, 2024 generally vest 25% of the total award on the first anniversary of the vesting commencement date, and thereafter vest quarterly over the remaining three years of the award, subject to continued employment through the vesting date. Some of the RSU grants to continuing employees in the three months ended March 30, 2024 vest 50% of the total award on the first anniversary of the vesting commencement date, and thereafter vest quarterly over the remaining four quarters of the award, subject to continued employment through the vesting date. RSU grants to non-employee consultants and brand ambassadors in the three months ended March 30, 2024 vest on varying dates, subject to continued service through the vesting date.</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Company’s RSU activity during the three months ended March 29, 2025:</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1560" w:type="dxa"/>
            <w:vAlign w:val="bottom"/>
            <w:vMerge w:val="restart"/>
          </w:tcPr>
          <w:p>
            <w:pPr>
              <w:jc w:val="right"/>
              <w:ind w:right="73"/>
              <w:spacing w:after="0"/>
              <w:rPr>
                <w:sz w:val="20"/>
                <w:szCs w:val="20"/>
                <w:color w:val="auto"/>
              </w:rPr>
            </w:pPr>
            <w:r>
              <w:rPr>
                <w:rFonts w:ascii="Arial" w:cs="Arial" w:eastAsia="Arial" w:hAnsi="Arial"/>
                <w:sz w:val="16"/>
                <w:szCs w:val="16"/>
                <w:b w:val="1"/>
                <w:bCs w:val="1"/>
                <w:color w:val="auto"/>
              </w:rPr>
              <w:t>Number of Units</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00" w:type="dxa"/>
            <w:vAlign w:val="bottom"/>
          </w:tcPr>
          <w:p>
            <w:pPr>
              <w:jc w:val="right"/>
              <w:ind w:right="433"/>
              <w:spacing w:after="0"/>
              <w:rPr>
                <w:sz w:val="20"/>
                <w:szCs w:val="20"/>
                <w:color w:val="auto"/>
              </w:rPr>
            </w:pPr>
            <w:r>
              <w:rPr>
                <w:rFonts w:ascii="Arial" w:cs="Arial" w:eastAsia="Arial" w:hAnsi="Arial"/>
                <w:sz w:val="16"/>
                <w:szCs w:val="16"/>
                <w:b w:val="1"/>
                <w:bCs w:val="1"/>
                <w:color w:val="auto"/>
              </w:rPr>
              <w:t>Weighted Average</w:t>
            </w:r>
          </w:p>
        </w:tc>
        <w:tc>
          <w:tcPr>
            <w:tcW w:w="0" w:type="dxa"/>
            <w:vAlign w:val="bottom"/>
          </w:tcPr>
          <w:p>
            <w:pPr>
              <w:spacing w:after="0"/>
              <w:rPr>
                <w:sz w:val="1"/>
                <w:szCs w:val="1"/>
                <w:color w:val="auto"/>
              </w:rPr>
            </w:pPr>
          </w:p>
        </w:tc>
      </w:tr>
      <w:tr>
        <w:trPr>
          <w:trHeight w:val="212"/>
        </w:trPr>
        <w:tc>
          <w:tcPr>
            <w:tcW w:w="664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Grant Date Fair Value Per Unit</w:t>
            </w:r>
          </w:p>
        </w:tc>
        <w:tc>
          <w:tcPr>
            <w:tcW w:w="0" w:type="dxa"/>
            <w:vAlign w:val="bottom"/>
          </w:tcPr>
          <w:p>
            <w:pPr>
              <w:spacing w:after="0"/>
              <w:rPr>
                <w:sz w:val="1"/>
                <w:szCs w:val="1"/>
                <w:color w:val="auto"/>
              </w:rPr>
            </w:pPr>
          </w:p>
        </w:tc>
      </w:tr>
      <w:tr>
        <w:trPr>
          <w:trHeight w:val="218"/>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Unvested at December 31, 2024</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2,241,231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25"/>
        </w:trPr>
        <w:tc>
          <w:tcPr>
            <w:tcW w:w="6640" w:type="dxa"/>
            <w:vAlign w:val="bottom"/>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206,663</w:t>
            </w:r>
          </w:p>
        </w:tc>
        <w:tc>
          <w:tcPr>
            <w:tcW w:w="420" w:type="dxa"/>
            <w:vAlign w:val="bottom"/>
            <w:gridSpan w:val="2"/>
          </w:tcPr>
          <w:p>
            <w:pPr>
              <w:jc w:val="right"/>
              <w:ind w:right="116"/>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25"/>
        </w:trPr>
        <w:tc>
          <w:tcPr>
            <w:tcW w:w="664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Vested</w:t>
            </w:r>
            <w:r>
              <w:rPr>
                <w:rFonts w:ascii="Arial" w:cs="Arial" w:eastAsia="Arial" w:hAnsi="Arial"/>
                <w:sz w:val="22"/>
                <w:szCs w:val="22"/>
                <w:color w:val="auto"/>
                <w:vertAlign w:val="superscript"/>
              </w:rPr>
              <w:t>(1)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(423,665)</w:t>
            </w:r>
          </w:p>
        </w:tc>
        <w:tc>
          <w:tcPr>
            <w:tcW w:w="42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25"/>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Canceled/Forfeited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(218,551)</w:t>
            </w:r>
          </w:p>
        </w:tc>
        <w:tc>
          <w:tcPr>
            <w:tcW w:w="420" w:type="dxa"/>
            <w:vAlign w:val="bottom"/>
            <w:tcBorders>
              <w:bottom w:val="single" w:sz="8" w:color="CCEEFF"/>
            </w:tcBorders>
            <w:gridSpan w:val="2"/>
          </w:tcPr>
          <w:p>
            <w:pPr>
              <w:jc w:val="right"/>
              <w:ind w:right="116"/>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43"/>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Unvested at March 29, 2025</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1,805,678</w:t>
            </w:r>
          </w:p>
        </w:tc>
        <w:tc>
          <w:tcPr>
            <w:tcW w:w="420" w:type="dxa"/>
            <w:vAlign w:val="bottom"/>
            <w:tcBorders>
              <w:bottom w:val="single" w:sz="8" w:color="CCEEFF"/>
            </w:tcBorders>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____________</w:t>
      </w:r>
    </w:p>
    <w:p>
      <w:pPr>
        <w:spacing w:after="0" w:line="18" w:lineRule="exact"/>
        <w:rPr>
          <w:sz w:val="20"/>
          <w:szCs w:val="20"/>
          <w:color w:val="auto"/>
        </w:rPr>
      </w:pPr>
    </w:p>
    <w:p>
      <w:pPr>
        <w:ind w:left="240" w:right="580" w:hanging="234"/>
        <w:spacing w:after="0" w:line="272" w:lineRule="auto"/>
        <w:tabs>
          <w:tab w:leader="none" w:pos="2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70,338 shares of common stock that were withheld to cover taxes on the release of vested RSUs and became available for future issuance pursuant to the 2018 Equity Incentive Plan.</w:t>
      </w:r>
    </w:p>
    <w:p>
      <w:pPr>
        <w:spacing w:after="0" w:line="253" w:lineRule="exact"/>
        <w:rPr>
          <w:sz w:val="20"/>
          <w:szCs w:val="20"/>
          <w:color w:val="auto"/>
        </w:rPr>
      </w:pPr>
    </w:p>
    <w:p>
      <w:pPr>
        <w:ind w:firstLine="318"/>
        <w:spacing w:after="0" w:line="283" w:lineRule="auto"/>
        <w:rPr>
          <w:sz w:val="20"/>
          <w:szCs w:val="20"/>
          <w:color w:val="auto"/>
        </w:rPr>
      </w:pPr>
      <w:r>
        <w:rPr>
          <w:rFonts w:ascii="Arial" w:cs="Arial" w:eastAsia="Arial" w:hAnsi="Arial"/>
          <w:sz w:val="18"/>
          <w:szCs w:val="18"/>
          <w:color w:val="auto"/>
        </w:rPr>
        <w:t>In the three months ended March 29, 2025 and March 30, 2024, the Company recorded $3.6 million and $4.0 million, respectively, of share-based compensation expense related to RSUs. The share-based compensation expense is included in cost of goods sold, research and development expenses and SG&amp;A expenses in the Company’s condensed consolidated statements of operations.</w:t>
      </w:r>
    </w:p>
    <w:p>
      <w:pPr>
        <w:spacing w:after="0" w:line="116" w:lineRule="exact"/>
        <w:rPr>
          <w:sz w:val="20"/>
          <w:szCs w:val="20"/>
          <w:color w:val="auto"/>
        </w:rPr>
      </w:pPr>
    </w:p>
    <w:p>
      <w:pPr>
        <w:ind w:right="200" w:firstLine="318"/>
        <w:spacing w:after="0" w:line="290" w:lineRule="auto"/>
        <w:rPr>
          <w:sz w:val="20"/>
          <w:szCs w:val="20"/>
          <w:color w:val="auto"/>
        </w:rPr>
      </w:pPr>
      <w:r>
        <w:rPr>
          <w:rFonts w:ascii="Arial" w:cs="Arial" w:eastAsia="Arial" w:hAnsi="Arial"/>
          <w:sz w:val="18"/>
          <w:szCs w:val="18"/>
          <w:color w:val="auto"/>
        </w:rPr>
        <w:t>As of March 29, 2025, there was $14.6 million in unrecognized compensation expense related to unvested RSUs which is expected to be recognized over a weighted average vesting period of 1.2 years.</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Performance Stock Units</w:t>
      </w:r>
    </w:p>
    <w:p>
      <w:pPr>
        <w:spacing w:after="0" w:line="177" w:lineRule="exact"/>
        <w:rPr>
          <w:sz w:val="20"/>
          <w:szCs w:val="20"/>
          <w:color w:val="auto"/>
        </w:rPr>
      </w:pPr>
    </w:p>
    <w:p>
      <w:pPr>
        <w:ind w:right="140" w:firstLine="318"/>
        <w:spacing w:after="0" w:line="290" w:lineRule="auto"/>
        <w:rPr>
          <w:sz w:val="20"/>
          <w:szCs w:val="20"/>
          <w:color w:val="auto"/>
        </w:rPr>
      </w:pPr>
      <w:r>
        <w:rPr>
          <w:rFonts w:ascii="Arial" w:cs="Arial" w:eastAsia="Arial" w:hAnsi="Arial"/>
          <w:sz w:val="18"/>
          <w:szCs w:val="18"/>
          <w:color w:val="auto"/>
        </w:rPr>
        <w:t>On March 1, 2024, the Company granted a target amount of $3.3 million in PSUs with market-based and service-based vesting conditions to certain executive officers. The market-based performance condition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412"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based on the Company’s total shareholder return (“TSR”) relative to a TSR comparator group (“Relative TSR Performance”) for each performance period. The TSR comparator group includes the companies included in the S&amp;P Food and Beverage Select Industry Index, excluding companies in the S&amp;P 500, as of the beginning of each of the three performance periods that apply to the PSUs (each performance period begins on January 1, 2024 and the performance periods end on December 31, 2024, December 31, 2025 and December 31, 2026 for a one-year, two-year and three-year performance period, respectively). The market-based performance condition allows for a range of vesting from 0% to 200% of the target amount, depending on the Company’s Relative TSR Performance for the applicable performance period, as determined by the Company’s Human Capital Management and Compensation Committee (“HCMCC”) within 60 days following the end of the performance period. In addition to the market-based vesting condition, these PSUs are subject to the continued service of the executive officers through the last day of the applicable performance period. PSUs that are unvested three months following the end of the performance period will be forfeited and returned to the 2018 Equity Incentive Plan on that date, or such earlier date as determined by the HCMCC.</w:t>
      </w:r>
    </w:p>
    <w:p>
      <w:pPr>
        <w:spacing w:after="0" w:line="122" w:lineRule="exact"/>
        <w:rPr>
          <w:sz w:val="20"/>
          <w:szCs w:val="20"/>
          <w:color w:val="auto"/>
        </w:rPr>
      </w:pPr>
    </w:p>
    <w:p>
      <w:pPr>
        <w:ind w:right="520" w:firstLine="318"/>
        <w:spacing w:after="0" w:line="305" w:lineRule="auto"/>
        <w:rPr>
          <w:sz w:val="20"/>
          <w:szCs w:val="20"/>
          <w:color w:val="auto"/>
        </w:rPr>
      </w:pPr>
      <w:r>
        <w:rPr>
          <w:rFonts w:ascii="Arial" w:cs="Arial" w:eastAsia="Arial" w:hAnsi="Arial"/>
          <w:sz w:val="18"/>
          <w:szCs w:val="18"/>
          <w:color w:val="auto"/>
        </w:rPr>
        <w:t>The fair value of PSUs is measured on the grant date using a Monte Carlo valuation model. Each of the three performance periods is considered an individual tranche of the award referred to below as “Tranche I,” “Tranche II” and “Tranche III,” respectively.</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9"/>
              </w:rPr>
              <w:t>Grant Date Fair Value Per</w:t>
            </w:r>
          </w:p>
        </w:tc>
        <w:tc>
          <w:tcPr>
            <w:tcW w:w="5300" w:type="dxa"/>
            <w:vAlign w:val="bottom"/>
          </w:tcPr>
          <w:p>
            <w:pPr>
              <w:spacing w:after="0"/>
              <w:rPr>
                <w:sz w:val="16"/>
                <w:szCs w:val="16"/>
                <w:color w:val="auto"/>
              </w:rPr>
            </w:pPr>
          </w:p>
        </w:tc>
      </w:tr>
      <w:tr>
        <w:trPr>
          <w:trHeight w:val="239"/>
        </w:trPr>
        <w:tc>
          <w:tcPr>
            <w:tcW w:w="1420" w:type="dxa"/>
            <w:vAlign w:val="bottom"/>
          </w:tcPr>
          <w:p>
            <w:pPr>
              <w:spacing w:after="0"/>
              <w:rPr>
                <w:sz w:val="20"/>
                <w:szCs w:val="20"/>
                <w:color w:val="auto"/>
              </w:rPr>
            </w:pPr>
          </w:p>
        </w:tc>
        <w:tc>
          <w:tcPr>
            <w:tcW w:w="2140" w:type="dxa"/>
            <w:vAlign w:val="bottom"/>
            <w:gridSpan w:val="2"/>
          </w:tcPr>
          <w:p>
            <w:pPr>
              <w:ind w:left="400"/>
              <w:spacing w:after="0"/>
              <w:rPr>
                <w:sz w:val="20"/>
                <w:szCs w:val="20"/>
                <w:color w:val="auto"/>
              </w:rPr>
            </w:pPr>
            <w:r>
              <w:rPr>
                <w:rFonts w:ascii="Arial" w:cs="Arial" w:eastAsia="Arial" w:hAnsi="Arial"/>
                <w:sz w:val="16"/>
                <w:szCs w:val="16"/>
                <w:b w:val="1"/>
                <w:bCs w:val="1"/>
                <w:color w:val="auto"/>
              </w:rPr>
              <w:t>Number of Units</w:t>
            </w:r>
          </w:p>
        </w:tc>
        <w:tc>
          <w:tcPr>
            <w:tcW w:w="480" w:type="dxa"/>
            <w:vAlign w:val="bottom"/>
          </w:tcPr>
          <w:p>
            <w:pPr>
              <w:spacing w:after="0"/>
              <w:rPr>
                <w:sz w:val="20"/>
                <w:szCs w:val="20"/>
                <w:color w:val="auto"/>
              </w:rPr>
            </w:pPr>
          </w:p>
        </w:tc>
        <w:tc>
          <w:tcPr>
            <w:tcW w:w="1660" w:type="dxa"/>
            <w:vAlign w:val="bottom"/>
            <w:gridSpan w:val="2"/>
          </w:tcPr>
          <w:p>
            <w:pPr>
              <w:jc w:val="center"/>
              <w:ind w:right="580"/>
              <w:spacing w:after="0"/>
              <w:rPr>
                <w:sz w:val="20"/>
                <w:szCs w:val="20"/>
                <w:color w:val="auto"/>
              </w:rPr>
            </w:pPr>
            <w:r>
              <w:rPr>
                <w:rFonts w:ascii="Arial" w:cs="Arial" w:eastAsia="Arial" w:hAnsi="Arial"/>
                <w:sz w:val="16"/>
                <w:szCs w:val="16"/>
                <w:b w:val="1"/>
                <w:bCs w:val="1"/>
                <w:color w:val="auto"/>
              </w:rPr>
              <w:t>Unit</w:t>
            </w:r>
          </w:p>
        </w:tc>
        <w:tc>
          <w:tcPr>
            <w:tcW w:w="5300" w:type="dxa"/>
            <w:vAlign w:val="bottom"/>
          </w:tcPr>
          <w:p>
            <w:pPr>
              <w:jc w:val="center"/>
              <w:spacing w:after="0"/>
              <w:rPr>
                <w:sz w:val="20"/>
                <w:szCs w:val="20"/>
                <w:color w:val="auto"/>
              </w:rPr>
            </w:pPr>
            <w:r>
              <w:rPr>
                <w:rFonts w:ascii="Arial" w:cs="Arial" w:eastAsia="Arial" w:hAnsi="Arial"/>
                <w:sz w:val="16"/>
                <w:szCs w:val="16"/>
                <w:b w:val="1"/>
                <w:bCs w:val="1"/>
                <w:color w:val="auto"/>
                <w:w w:val="98"/>
              </w:rPr>
              <w:t>Performance Period</w:t>
            </w:r>
          </w:p>
        </w:tc>
      </w:tr>
      <w:tr>
        <w:trPr>
          <w:trHeight w:val="218"/>
        </w:trPr>
        <w:tc>
          <w:tcPr>
            <w:tcW w:w="1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Tranche I</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80,307</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00" w:type="dxa"/>
            <w:vAlign w:val="bottom"/>
            <w:tcBorders>
              <w:top w:val="single" w:sz="8" w:color="CCEEFF"/>
            </w:tcBorders>
            <w:shd w:val="clear" w:color="auto" w:fill="CCEEFF"/>
          </w:tcPr>
          <w:p>
            <w:pPr>
              <w:spacing w:after="0"/>
              <w:rPr>
                <w:sz w:val="19"/>
                <w:szCs w:val="19"/>
                <w:color w:val="auto"/>
              </w:rPr>
            </w:pPr>
          </w:p>
        </w:tc>
        <w:tc>
          <w:tcPr>
            <w:tcW w:w="5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January 1, 2024 - December 31, 2024</w:t>
            </w:r>
          </w:p>
        </w:tc>
      </w:tr>
      <w:tr>
        <w:trPr>
          <w:trHeight w:val="225"/>
        </w:trPr>
        <w:tc>
          <w:tcPr>
            <w:tcW w:w="1420" w:type="dxa"/>
            <w:vAlign w:val="bottom"/>
          </w:tcPr>
          <w:p>
            <w:pPr>
              <w:ind w:left="20"/>
              <w:spacing w:after="0"/>
              <w:rPr>
                <w:sz w:val="20"/>
                <w:szCs w:val="20"/>
                <w:color w:val="auto"/>
              </w:rPr>
            </w:pPr>
            <w:r>
              <w:rPr>
                <w:rFonts w:ascii="Arial" w:cs="Arial" w:eastAsia="Arial" w:hAnsi="Arial"/>
                <w:sz w:val="18"/>
                <w:szCs w:val="18"/>
                <w:color w:val="auto"/>
              </w:rPr>
              <w:t>Tranche II</w:t>
            </w:r>
          </w:p>
        </w:tc>
        <w:tc>
          <w:tcPr>
            <w:tcW w:w="2040" w:type="dxa"/>
            <w:vAlign w:val="bottom"/>
          </w:tcPr>
          <w:p>
            <w:pPr>
              <w:jc w:val="right"/>
              <w:spacing w:after="0"/>
              <w:rPr>
                <w:sz w:val="20"/>
                <w:szCs w:val="20"/>
                <w:color w:val="auto"/>
              </w:rPr>
            </w:pPr>
            <w:r>
              <w:rPr>
                <w:rFonts w:ascii="Arial" w:cs="Arial" w:eastAsia="Arial" w:hAnsi="Arial"/>
                <w:sz w:val="18"/>
                <w:szCs w:val="18"/>
                <w:color w:val="auto"/>
              </w:rPr>
              <w:t>74,714</w:t>
            </w:r>
          </w:p>
        </w:tc>
        <w:tc>
          <w:tcPr>
            <w:tcW w:w="100" w:type="dxa"/>
            <w:vAlign w:val="bottom"/>
          </w:tcPr>
          <w:p>
            <w:pPr>
              <w:spacing w:after="0"/>
              <w:rPr>
                <w:sz w:val="19"/>
                <w:szCs w:val="19"/>
                <w:color w:val="auto"/>
              </w:rPr>
            </w:pPr>
          </w:p>
        </w:tc>
        <w:tc>
          <w:tcPr>
            <w:tcW w:w="480" w:type="dxa"/>
            <w:vAlign w:val="bottom"/>
          </w:tcPr>
          <w:p>
            <w:pPr>
              <w:jc w:val="right"/>
              <w:ind w:right="274"/>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19"/>
                <w:szCs w:val="19"/>
                <w:color w:val="auto"/>
              </w:rPr>
            </w:pPr>
          </w:p>
        </w:tc>
        <w:tc>
          <w:tcPr>
            <w:tcW w:w="5300" w:type="dxa"/>
            <w:vAlign w:val="bottom"/>
          </w:tcPr>
          <w:p>
            <w:pPr>
              <w:jc w:val="center"/>
              <w:spacing w:after="0"/>
              <w:rPr>
                <w:sz w:val="20"/>
                <w:szCs w:val="20"/>
                <w:color w:val="auto"/>
              </w:rPr>
            </w:pPr>
            <w:r>
              <w:rPr>
                <w:rFonts w:ascii="Arial" w:cs="Arial" w:eastAsia="Arial" w:hAnsi="Arial"/>
                <w:sz w:val="18"/>
                <w:szCs w:val="18"/>
                <w:color w:val="auto"/>
                <w:w w:val="98"/>
              </w:rPr>
              <w:t>January 1, 2024 - December 31, 2025</w:t>
            </w:r>
          </w:p>
        </w:tc>
      </w:tr>
      <w:tr>
        <w:trPr>
          <w:trHeight w:val="225"/>
        </w:trPr>
        <w:tc>
          <w:tcPr>
            <w:tcW w:w="1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Tranche III</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70,946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4"/>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100" w:type="dxa"/>
            <w:vAlign w:val="bottom"/>
            <w:shd w:val="clear" w:color="auto" w:fill="CCEEFF"/>
          </w:tcPr>
          <w:p>
            <w:pPr>
              <w:spacing w:after="0"/>
              <w:rPr>
                <w:sz w:val="19"/>
                <w:szCs w:val="19"/>
                <w:color w:val="auto"/>
              </w:rPr>
            </w:pPr>
          </w:p>
        </w:tc>
        <w:tc>
          <w:tcPr>
            <w:tcW w:w="5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January 1, 2024 - December 31, 2026</w:t>
            </w:r>
          </w:p>
        </w:tc>
      </w:tr>
    </w:tbl>
    <w:p>
      <w:pPr>
        <w:spacing w:after="0" w:line="248" w:lineRule="exact"/>
        <w:rPr>
          <w:sz w:val="20"/>
          <w:szCs w:val="20"/>
          <w:color w:val="auto"/>
        </w:rPr>
      </w:pPr>
    </w:p>
    <w:p>
      <w:pPr>
        <w:ind w:right="100" w:firstLine="318"/>
        <w:spacing w:after="0" w:line="275" w:lineRule="auto"/>
        <w:rPr>
          <w:sz w:val="20"/>
          <w:szCs w:val="20"/>
          <w:color w:val="auto"/>
        </w:rPr>
      </w:pPr>
      <w:r>
        <w:rPr>
          <w:rFonts w:ascii="Arial" w:cs="Arial" w:eastAsia="Arial" w:hAnsi="Arial"/>
          <w:sz w:val="18"/>
          <w:szCs w:val="18"/>
          <w:color w:val="auto"/>
        </w:rPr>
        <w:t>The first performance period for the 2024 PSUs began on January 1, 2024 and ended on December 31, 2024 (the “Tranche I Performance Period”). The shares subject to the Tranche I Performance Period (the “Tranche I Target PSUs”) were to vest on the last day of the Tranche I Performance Period in an amount equal to the applicable percentage set forth below for the Relative TSR Performance for the Tranche I Performance Period, so long as the applicable executive remained a service provider through such date: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Relative TSR Performance</w:t>
            </w:r>
            <w:r>
              <w:rPr>
                <w:rFonts w:ascii="Arial" w:cs="Arial" w:eastAsia="Arial" w:hAnsi="Arial"/>
                <w:sz w:val="20"/>
                <w:szCs w:val="20"/>
                <w:b w:val="1"/>
                <w:bCs w:val="1"/>
                <w:color w:val="auto"/>
                <w:vertAlign w:val="superscript"/>
              </w:rPr>
              <w:t>(1)</w:t>
            </w:r>
          </w:p>
        </w:tc>
        <w:tc>
          <w:tcPr>
            <w:tcW w:w="5220" w:type="dxa"/>
            <w:vAlign w:val="bottom"/>
          </w:tcPr>
          <w:p>
            <w:pPr>
              <w:jc w:val="center"/>
              <w:spacing w:after="0"/>
              <w:rPr>
                <w:sz w:val="20"/>
                <w:szCs w:val="20"/>
                <w:color w:val="auto"/>
              </w:rPr>
            </w:pPr>
            <w:r>
              <w:rPr>
                <w:rFonts w:ascii="Arial" w:cs="Arial" w:eastAsia="Arial" w:hAnsi="Arial"/>
                <w:sz w:val="16"/>
                <w:szCs w:val="16"/>
                <w:b w:val="1"/>
                <w:bCs w:val="1"/>
                <w:color w:val="auto"/>
              </w:rPr>
              <w:t>Percentage Applicable to the</w:t>
            </w:r>
          </w:p>
        </w:tc>
        <w:tc>
          <w:tcPr>
            <w:tcW w:w="0" w:type="dxa"/>
            <w:vAlign w:val="bottom"/>
          </w:tcPr>
          <w:p>
            <w:pPr>
              <w:spacing w:after="0"/>
              <w:rPr>
                <w:sz w:val="1"/>
                <w:szCs w:val="1"/>
                <w:color w:val="auto"/>
              </w:rPr>
            </w:pPr>
          </w:p>
        </w:tc>
      </w:tr>
      <w:tr>
        <w:trPr>
          <w:trHeight w:val="212"/>
        </w:trPr>
        <w:tc>
          <w:tcPr>
            <w:tcW w:w="5620" w:type="dxa"/>
            <w:vAlign w:val="bottom"/>
            <w:gridSpan w:val="2"/>
            <w:vMerge w:val="continue"/>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6"/>
                <w:szCs w:val="16"/>
                <w:b w:val="1"/>
                <w:bCs w:val="1"/>
                <w:color w:val="auto"/>
                <w:w w:val="99"/>
              </w:rPr>
              <w:t>Relative TSR Performance</w:t>
            </w:r>
          </w:p>
        </w:tc>
        <w:tc>
          <w:tcPr>
            <w:tcW w:w="0" w:type="dxa"/>
            <w:vAlign w:val="bottom"/>
          </w:tcPr>
          <w:p>
            <w:pPr>
              <w:spacing w:after="0"/>
              <w:rPr>
                <w:sz w:val="1"/>
                <w:szCs w:val="1"/>
                <w:color w:val="auto"/>
              </w:rPr>
            </w:pPr>
          </w:p>
        </w:tc>
      </w:tr>
      <w:tr>
        <w:trPr>
          <w:trHeight w:val="218"/>
        </w:trPr>
        <w:tc>
          <w:tcPr>
            <w:tcW w:w="5460" w:type="dxa"/>
            <w:vAlign w:val="bottom"/>
            <w:tcBorders>
              <w:top w:val="single" w:sz="8" w:color="auto"/>
            </w:tcBorders>
            <w:shd w:val="clear" w:color="auto" w:fill="CCEEFF"/>
          </w:tcPr>
          <w:p>
            <w:pPr>
              <w:ind w:left="20"/>
              <w:spacing w:after="0" w:line="219" w:lineRule="exact"/>
              <w:rPr>
                <w:sz w:val="20"/>
                <w:szCs w:val="20"/>
                <w:color w:val="auto"/>
              </w:rPr>
            </w:pPr>
            <w:r>
              <w:rPr>
                <w:rFonts w:ascii="Arial" w:cs="Arial" w:eastAsia="Arial" w:hAnsi="Arial"/>
                <w:sz w:val="18"/>
                <w:szCs w:val="18"/>
                <w:color w:val="auto"/>
              </w:rPr>
              <w:t>Less than 30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w:t>
            </w:r>
          </w:p>
        </w:tc>
        <w:tc>
          <w:tcPr>
            <w:tcW w:w="160" w:type="dxa"/>
            <w:vAlign w:val="bottom"/>
            <w:tcBorders>
              <w:top w:val="single" w:sz="8" w:color="CCEEFF"/>
            </w:tcBorders>
            <w:shd w:val="clear" w:color="auto" w:fill="CCEEFF"/>
          </w:tcPr>
          <w:p>
            <w:pPr>
              <w:spacing w:after="0"/>
              <w:rPr>
                <w:sz w:val="19"/>
                <w:szCs w:val="19"/>
                <w:color w:val="auto"/>
              </w:rPr>
            </w:pPr>
          </w:p>
        </w:tc>
        <w:tc>
          <w:tcPr>
            <w:tcW w:w="5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25"/>
        </w:trPr>
        <w:tc>
          <w:tcPr>
            <w:tcW w:w="5620" w:type="dxa"/>
            <w:vAlign w:val="bottom"/>
            <w:gridSpan w:val="2"/>
          </w:tcPr>
          <w:p>
            <w:pPr>
              <w:ind w:left="20"/>
              <w:spacing w:after="0" w:line="225" w:lineRule="exact"/>
              <w:rPr>
                <w:sz w:val="20"/>
                <w:szCs w:val="20"/>
                <w:color w:val="auto"/>
              </w:rPr>
            </w:pPr>
            <w:r>
              <w:rPr>
                <w:rFonts w:ascii="Arial" w:cs="Arial" w:eastAsia="Arial" w:hAnsi="Arial"/>
                <w:sz w:val="18"/>
                <w:szCs w:val="18"/>
                <w:color w:val="auto"/>
              </w:rPr>
              <w:t>30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50%</w:t>
            </w:r>
          </w:p>
        </w:tc>
        <w:tc>
          <w:tcPr>
            <w:tcW w:w="0" w:type="dxa"/>
            <w:vAlign w:val="bottom"/>
          </w:tcPr>
          <w:p>
            <w:pPr>
              <w:spacing w:after="0"/>
              <w:rPr>
                <w:sz w:val="1"/>
                <w:szCs w:val="1"/>
                <w:color w:val="auto"/>
              </w:rPr>
            </w:pPr>
          </w:p>
        </w:tc>
      </w:tr>
      <w:tr>
        <w:trPr>
          <w:trHeight w:val="225"/>
        </w:trPr>
        <w:tc>
          <w:tcPr>
            <w:tcW w:w="562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w:t>
            </w:r>
          </w:p>
        </w:tc>
        <w:tc>
          <w:tcPr>
            <w:tcW w:w="5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100%</w:t>
            </w:r>
          </w:p>
        </w:tc>
        <w:tc>
          <w:tcPr>
            <w:tcW w:w="0" w:type="dxa"/>
            <w:vAlign w:val="bottom"/>
          </w:tcPr>
          <w:p>
            <w:pPr>
              <w:spacing w:after="0"/>
              <w:rPr>
                <w:sz w:val="1"/>
                <w:szCs w:val="1"/>
                <w:color w:val="auto"/>
              </w:rPr>
            </w:pPr>
          </w:p>
        </w:tc>
      </w:tr>
      <w:tr>
        <w:trPr>
          <w:trHeight w:val="306"/>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80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and above</w:t>
            </w:r>
          </w:p>
        </w:tc>
        <w:tc>
          <w:tcPr>
            <w:tcW w:w="5220" w:type="dxa"/>
            <w:vAlign w:val="bottom"/>
          </w:tcPr>
          <w:p>
            <w:pPr>
              <w:jc w:val="center"/>
              <w:spacing w:after="0"/>
              <w:rPr>
                <w:sz w:val="20"/>
                <w:szCs w:val="20"/>
                <w:color w:val="auto"/>
              </w:rPr>
            </w:pPr>
            <w:r>
              <w:rPr>
                <w:rFonts w:ascii="Arial" w:cs="Arial" w:eastAsia="Arial" w:hAnsi="Arial"/>
                <w:sz w:val="18"/>
                <w:szCs w:val="18"/>
                <w:color w:val="auto"/>
                <w:w w:val="95"/>
              </w:rPr>
              <w:t>200%</w:t>
            </w:r>
          </w:p>
        </w:tc>
        <w:tc>
          <w:tcPr>
            <w:tcW w:w="0" w:type="dxa"/>
            <w:vAlign w:val="bottom"/>
          </w:tcPr>
          <w:p>
            <w:pPr>
              <w:spacing w:after="0"/>
              <w:rPr>
                <w:sz w:val="1"/>
                <w:szCs w:val="1"/>
                <w:color w:val="auto"/>
              </w:rPr>
            </w:pPr>
          </w:p>
        </w:tc>
      </w:tr>
    </w:tbl>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21" w:lineRule="exact"/>
        <w:rPr>
          <w:sz w:val="20"/>
          <w:szCs w:val="20"/>
          <w:color w:val="auto"/>
        </w:rPr>
      </w:pPr>
    </w:p>
    <w:p>
      <w:pPr>
        <w:ind w:left="240" w:right="80" w:hanging="234"/>
        <w:spacing w:after="0" w:line="278" w:lineRule="auto"/>
        <w:tabs>
          <w:tab w:leader="none" w:pos="236" w:val="left"/>
        </w:tabs>
        <w:numPr>
          <w:ilvl w:val="0"/>
          <w:numId w:val="16"/>
        </w:numPr>
        <w:rPr>
          <w:rFonts w:ascii="Arial" w:cs="Arial" w:eastAsia="Arial" w:hAnsi="Arial"/>
          <w:sz w:val="16"/>
          <w:szCs w:val="16"/>
          <w:color w:val="auto"/>
        </w:rPr>
      </w:pPr>
      <w:r>
        <w:rPr>
          <w:rFonts w:ascii="Arial" w:cs="Arial" w:eastAsia="Arial" w:hAnsi="Arial"/>
          <w:sz w:val="16"/>
          <w:szCs w:val="16"/>
          <w:color w:val="auto"/>
        </w:rPr>
        <w:t>Straight-line interpolation shall determine the Percentage Applicable to the Relative TSR Performance when Relative TSR Performance is between the 30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and 50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percentiles or between the 50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and 80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percentiles.</w:t>
      </w:r>
    </w:p>
    <w:p>
      <w:pPr>
        <w:spacing w:after="0" w:line="193" w:lineRule="exact"/>
        <w:rPr>
          <w:sz w:val="20"/>
          <w:szCs w:val="20"/>
          <w:color w:val="auto"/>
        </w:rPr>
      </w:pPr>
    </w:p>
    <w:p>
      <w:pPr>
        <w:ind w:right="320" w:firstLine="318"/>
        <w:spacing w:after="0" w:line="275" w:lineRule="auto"/>
        <w:rPr>
          <w:sz w:val="20"/>
          <w:szCs w:val="20"/>
          <w:color w:val="auto"/>
        </w:rPr>
      </w:pPr>
      <w:r>
        <w:rPr>
          <w:rFonts w:ascii="Arial" w:cs="Arial" w:eastAsia="Arial" w:hAnsi="Arial"/>
          <w:sz w:val="18"/>
          <w:szCs w:val="18"/>
          <w:color w:val="auto"/>
        </w:rPr>
        <w:t>On February 4, 2025, the HCMCC determined that the Company’s Relative TSR Performance for the Tranche I PSUs was less than the 30th percentile, resulting in 0% of the Tranche I Target PSUs vesting. Accordingly, the unvested Tranche I Target PSUs were forfeited and returned to the 2018 Equity Incentive Plan share reserve for future issuance under the 2018 Equity Incentive Plan.</w:t>
      </w:r>
    </w:p>
    <w:p>
      <w:pPr>
        <w:spacing w:after="0" w:line="136" w:lineRule="exact"/>
        <w:rPr>
          <w:sz w:val="20"/>
          <w:szCs w:val="20"/>
          <w:color w:val="auto"/>
        </w:rPr>
      </w:pPr>
    </w:p>
    <w:p>
      <w:pPr>
        <w:ind w:firstLine="318"/>
        <w:spacing w:after="0" w:line="296" w:lineRule="auto"/>
        <w:rPr>
          <w:sz w:val="20"/>
          <w:szCs w:val="20"/>
          <w:color w:val="auto"/>
        </w:rPr>
      </w:pPr>
      <w:r>
        <w:rPr>
          <w:rFonts w:ascii="Arial" w:cs="Arial" w:eastAsia="Arial" w:hAnsi="Arial"/>
          <w:sz w:val="17"/>
          <w:szCs w:val="17"/>
          <w:color w:val="auto"/>
        </w:rPr>
        <w:t>The market-based performance condition used for the 2024 PSU awards is based upon the company’s Relative TSR Performance, which is considered to be a market condition under FASB ASC Topic 718, for each performance period. Consistent with FASB ASC Topic 718, the full grant date fair value (at target performance) for the market-related TSR component for all three tranches of the 2024 PSU awards is included in the amounts shown. As required by SEC rules, the amounts shown exclude the impact of estimated forfeitures related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412"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320"/>
        <w:spacing w:after="0" w:line="290" w:lineRule="auto"/>
        <w:rPr>
          <w:sz w:val="20"/>
          <w:szCs w:val="20"/>
          <w:color w:val="auto"/>
        </w:rPr>
      </w:pPr>
      <w:r>
        <w:rPr>
          <w:rFonts w:ascii="Arial" w:cs="Arial" w:eastAsia="Arial" w:hAnsi="Arial"/>
          <w:sz w:val="18"/>
          <w:szCs w:val="18"/>
          <w:color w:val="auto"/>
        </w:rPr>
        <w:t>service-based vesting conditions. The fair value of PSUs is measured on the grant date using a Monte Carlo valuation model. The following valuation assumptions were used in the Monte Carlo valuation model for the PSUs granted on March 1, 2024:</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00" w:type="dxa"/>
            <w:vAlign w:val="bottom"/>
            <w:gridSpan w:val="2"/>
          </w:tcPr>
          <w:p>
            <w:pPr>
              <w:ind w:left="2100"/>
              <w:spacing w:after="0"/>
              <w:rPr>
                <w:sz w:val="20"/>
                <w:szCs w:val="20"/>
                <w:color w:val="auto"/>
              </w:rPr>
            </w:pPr>
            <w:r>
              <w:rPr>
                <w:rFonts w:ascii="Arial" w:cs="Arial" w:eastAsia="Arial" w:hAnsi="Arial"/>
                <w:sz w:val="16"/>
                <w:szCs w:val="16"/>
                <w:b w:val="1"/>
                <w:bCs w:val="1"/>
                <w:color w:val="auto"/>
              </w:rPr>
              <w:t>Assumption</w:t>
            </w:r>
          </w:p>
        </w:tc>
        <w:tc>
          <w:tcPr>
            <w:tcW w:w="5500" w:type="dxa"/>
            <w:vAlign w:val="bottom"/>
          </w:tcPr>
          <w:p>
            <w:pPr>
              <w:ind w:left="2020"/>
              <w:spacing w:after="0"/>
              <w:rPr>
                <w:sz w:val="20"/>
                <w:szCs w:val="20"/>
                <w:color w:val="auto"/>
              </w:rPr>
            </w:pPr>
            <w:r>
              <w:rPr>
                <w:rFonts w:ascii="Arial" w:cs="Arial" w:eastAsia="Arial" w:hAnsi="Arial"/>
                <w:sz w:val="16"/>
                <w:szCs w:val="16"/>
                <w:b w:val="1"/>
                <w:bCs w:val="1"/>
                <w:color w:val="auto"/>
              </w:rPr>
              <w:t>As of March 1, 2024</w:t>
            </w:r>
          </w:p>
        </w:tc>
      </w:tr>
      <w:tr>
        <w:trPr>
          <w:trHeight w:val="218"/>
        </w:trPr>
        <w:tc>
          <w:tcPr>
            <w:tcW w:w="5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Expected term (years)</w:t>
            </w:r>
          </w:p>
        </w:tc>
        <w:tc>
          <w:tcPr>
            <w:tcW w:w="200" w:type="dxa"/>
            <w:vAlign w:val="bottom"/>
            <w:tcBorders>
              <w:top w:val="single" w:sz="8" w:color="CCEEFF"/>
            </w:tcBorders>
            <w:shd w:val="clear" w:color="auto" w:fill="CCEEFF"/>
          </w:tcPr>
          <w:p>
            <w:pPr>
              <w:spacing w:after="0"/>
              <w:rPr>
                <w:sz w:val="19"/>
                <w:szCs w:val="19"/>
                <w:color w:val="auto"/>
              </w:rPr>
            </w:pPr>
          </w:p>
        </w:tc>
        <w:tc>
          <w:tcPr>
            <w:tcW w:w="5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2.8</w:t>
            </w:r>
          </w:p>
        </w:tc>
      </w:tr>
      <w:tr>
        <w:trPr>
          <w:trHeight w:val="225"/>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5500" w:type="dxa"/>
            <w:vAlign w:val="bottom"/>
          </w:tcPr>
          <w:p>
            <w:pPr>
              <w:jc w:val="center"/>
              <w:spacing w:after="0"/>
              <w:rPr>
                <w:sz w:val="20"/>
                <w:szCs w:val="20"/>
                <w:color w:val="auto"/>
              </w:rPr>
            </w:pPr>
            <w:r>
              <w:rPr>
                <w:rFonts w:ascii="Arial" w:cs="Arial" w:eastAsia="Arial" w:hAnsi="Arial"/>
                <w:sz w:val="18"/>
                <w:szCs w:val="18"/>
                <w:color w:val="auto"/>
                <w:w w:val="97"/>
              </w:rPr>
              <w:t>78.7%</w:t>
            </w:r>
          </w:p>
        </w:tc>
      </w:tr>
      <w:tr>
        <w:trPr>
          <w:trHeight w:val="225"/>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Average correlation</w:t>
            </w:r>
          </w:p>
        </w:tc>
        <w:tc>
          <w:tcPr>
            <w:tcW w:w="5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21.4%</w:t>
            </w:r>
          </w:p>
        </w:tc>
      </w:tr>
      <w:tr>
        <w:trPr>
          <w:trHeight w:val="225"/>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Risk-free interest rate</w:t>
            </w:r>
          </w:p>
        </w:tc>
        <w:tc>
          <w:tcPr>
            <w:tcW w:w="5500" w:type="dxa"/>
            <w:vAlign w:val="bottom"/>
          </w:tcPr>
          <w:p>
            <w:pPr>
              <w:jc w:val="center"/>
              <w:spacing w:after="0"/>
              <w:rPr>
                <w:sz w:val="20"/>
                <w:szCs w:val="20"/>
                <w:color w:val="auto"/>
              </w:rPr>
            </w:pPr>
            <w:r>
              <w:rPr>
                <w:rFonts w:ascii="Arial" w:cs="Arial" w:eastAsia="Arial" w:hAnsi="Arial"/>
                <w:sz w:val="18"/>
                <w:szCs w:val="18"/>
                <w:color w:val="auto"/>
                <w:w w:val="97"/>
              </w:rPr>
              <w:t>4.36%</w:t>
            </w:r>
          </w:p>
        </w:tc>
      </w:tr>
      <w:tr>
        <w:trPr>
          <w:trHeight w:val="225"/>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5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0%</w:t>
            </w:r>
          </w:p>
        </w:tc>
      </w:tr>
      <w:tr>
        <w:trPr>
          <w:trHeight w:val="232"/>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Measurement date stock price</w:t>
            </w:r>
          </w:p>
        </w:tc>
        <w:tc>
          <w:tcPr>
            <w:tcW w:w="5500" w:type="dxa"/>
            <w:vAlign w:val="bottom"/>
          </w:tcPr>
          <w:p>
            <w:pPr>
              <w:jc w:val="center"/>
              <w:spacing w:after="0"/>
              <w:rPr>
                <w:sz w:val="20"/>
                <w:szCs w:val="20"/>
                <w:color w:val="auto"/>
              </w:rPr>
            </w:pPr>
            <w:r>
              <w:rPr>
                <w:rFonts w:ascii="Arial" w:cs="Arial" w:eastAsia="Arial" w:hAnsi="Arial"/>
                <w:sz w:val="18"/>
                <w:szCs w:val="18"/>
                <w:color w:val="auto"/>
                <w:w w:val="97"/>
              </w:rPr>
              <w:t>$9.77</w:t>
            </w:r>
          </w:p>
        </w:tc>
      </w:tr>
    </w:tbl>
    <w:p>
      <w:pPr>
        <w:spacing w:after="0" w:line="228" w:lineRule="exact"/>
        <w:rPr>
          <w:sz w:val="20"/>
          <w:szCs w:val="20"/>
          <w:color w:val="auto"/>
        </w:rPr>
      </w:pPr>
    </w:p>
    <w:p>
      <w:pPr>
        <w:ind w:left="320" w:right="300" w:hanging="314"/>
        <w:spacing w:after="0" w:line="305" w:lineRule="auto"/>
        <w:tabs>
          <w:tab w:leader="none" w:pos="31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is based on the grant date of the PSU awards (3/1/2024) through the end of the performance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(12/31/2026).</w:t>
      </w:r>
    </w:p>
    <w:p>
      <w:pPr>
        <w:spacing w:after="0" w:line="96" w:lineRule="exact"/>
        <w:rPr>
          <w:rFonts w:ascii="Arial" w:cs="Arial" w:eastAsia="Arial" w:hAnsi="Arial"/>
          <w:sz w:val="18"/>
          <w:szCs w:val="18"/>
          <w:color w:val="auto"/>
        </w:rPr>
      </w:pPr>
    </w:p>
    <w:p>
      <w:pPr>
        <w:ind w:left="320" w:right="380" w:hanging="314"/>
        <w:spacing w:after="0" w:line="290" w:lineRule="auto"/>
        <w:tabs>
          <w:tab w:leader="none" w:pos="31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Expected Volatility and Correlation Assumptions</w:t>
      </w:r>
      <w:r>
        <w:rPr>
          <w:rFonts w:ascii="Arial" w:cs="Arial" w:eastAsia="Arial" w:hAnsi="Arial"/>
          <w:sz w:val="18"/>
          <w:szCs w:val="18"/>
          <w:color w:val="auto"/>
        </w:rPr>
        <w:t>: Volatility and correlation measures were based on three years of daily historical stock</w:t>
      </w:r>
      <w:r>
        <w:rPr>
          <w:rFonts w:ascii="Arial" w:cs="Arial" w:eastAsia="Arial" w:hAnsi="Arial"/>
          <w:sz w:val="18"/>
          <w:szCs w:val="18"/>
          <w:i w:val="1"/>
          <w:iCs w:val="1"/>
          <w:color w:val="auto"/>
        </w:rPr>
        <w:t xml:space="preserve"> </w:t>
      </w:r>
      <w:r>
        <w:rPr>
          <w:rFonts w:ascii="Arial" w:cs="Arial" w:eastAsia="Arial" w:hAnsi="Arial"/>
          <w:sz w:val="18"/>
          <w:szCs w:val="18"/>
          <w:color w:val="auto"/>
        </w:rPr>
        <w:t>price data through March 1, 2024.</w:t>
      </w:r>
    </w:p>
    <w:p>
      <w:pPr>
        <w:spacing w:after="0" w:line="122" w:lineRule="exact"/>
        <w:rPr>
          <w:rFonts w:ascii="Arial" w:cs="Arial" w:eastAsia="Arial" w:hAnsi="Arial"/>
          <w:sz w:val="18"/>
          <w:szCs w:val="18"/>
          <w:color w:val="auto"/>
        </w:rPr>
      </w:pPr>
    </w:p>
    <w:p>
      <w:pPr>
        <w:jc w:val="both"/>
        <w:ind w:left="320" w:hanging="314"/>
        <w:spacing w:after="0" w:line="275" w:lineRule="auto"/>
        <w:tabs>
          <w:tab w:leader="none" w:pos="31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Starting TSR</w:t>
      </w:r>
      <w:r>
        <w:rPr>
          <w:rFonts w:ascii="Arial" w:cs="Arial" w:eastAsia="Arial" w:hAnsi="Arial"/>
          <w:sz w:val="18"/>
          <w:szCs w:val="18"/>
          <w:color w:val="auto"/>
        </w:rPr>
        <w:t>: Starting TSR was calculated for the company and each of the companies in the TSR comparator group based on the closing</w:t>
      </w:r>
      <w:r>
        <w:rPr>
          <w:rFonts w:ascii="Arial" w:cs="Arial" w:eastAsia="Arial" w:hAnsi="Arial"/>
          <w:sz w:val="18"/>
          <w:szCs w:val="18"/>
          <w:i w:val="1"/>
          <w:iCs w:val="1"/>
          <w:color w:val="auto"/>
        </w:rPr>
        <w:t xml:space="preserve"> </w:t>
      </w:r>
      <w:r>
        <w:rPr>
          <w:rFonts w:ascii="Arial" w:cs="Arial" w:eastAsia="Arial" w:hAnsi="Arial"/>
          <w:sz w:val="18"/>
          <w:szCs w:val="18"/>
          <w:color w:val="auto"/>
        </w:rPr>
        <w:t>price on the date of grant compared to the closing price on the trading day immediately preceding the beginning of each of the performance periods.</w:t>
      </w:r>
    </w:p>
    <w:p>
      <w:pPr>
        <w:spacing w:after="0" w:line="136" w:lineRule="exact"/>
        <w:rPr>
          <w:rFonts w:ascii="Arial" w:cs="Arial" w:eastAsia="Arial" w:hAnsi="Arial"/>
          <w:sz w:val="18"/>
          <w:szCs w:val="18"/>
          <w:color w:val="auto"/>
        </w:rPr>
      </w:pPr>
    </w:p>
    <w:p>
      <w:pPr>
        <w:ind w:left="320" w:right="60" w:hanging="314"/>
        <w:spacing w:after="0" w:line="290" w:lineRule="auto"/>
        <w:tabs>
          <w:tab w:leader="none" w:pos="31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is based on the U.S. Treasury constant maturities yields on the grant date as reported in</w:t>
      </w:r>
      <w:r>
        <w:rPr>
          <w:rFonts w:ascii="Arial" w:cs="Arial" w:eastAsia="Arial" w:hAnsi="Arial"/>
          <w:sz w:val="18"/>
          <w:szCs w:val="18"/>
          <w:i w:val="1"/>
          <w:iCs w:val="1"/>
          <w:color w:val="auto"/>
        </w:rPr>
        <w:t xml:space="preserve"> </w:t>
      </w:r>
      <w:r>
        <w:rPr>
          <w:rFonts w:ascii="Arial" w:cs="Arial" w:eastAsia="Arial" w:hAnsi="Arial"/>
          <w:sz w:val="18"/>
          <w:szCs w:val="18"/>
          <w:color w:val="auto"/>
        </w:rPr>
        <w:t>the H.15 Federal Reserve Statistical Release with a term corresponding to the remaining length of the performance period.</w:t>
      </w:r>
    </w:p>
    <w:p>
      <w:pPr>
        <w:spacing w:after="0" w:line="109" w:lineRule="exact"/>
        <w:rPr>
          <w:rFonts w:ascii="Arial" w:cs="Arial" w:eastAsia="Arial" w:hAnsi="Arial"/>
          <w:sz w:val="18"/>
          <w:szCs w:val="18"/>
          <w:color w:val="auto"/>
        </w:rPr>
      </w:pPr>
    </w:p>
    <w:p>
      <w:pPr>
        <w:ind w:left="320" w:hanging="314"/>
        <w:spacing w:after="0" w:line="283" w:lineRule="auto"/>
        <w:tabs>
          <w:tab w:leader="none" w:pos="31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Dividend Yield Assumptio</w:t>
      </w:r>
      <w:r>
        <w:rPr>
          <w:rFonts w:ascii="Arial" w:cs="Arial" w:eastAsia="Arial" w:hAnsi="Arial"/>
          <w:sz w:val="18"/>
          <w:szCs w:val="18"/>
          <w:color w:val="auto"/>
        </w:rPr>
        <w:t>n: For purposes of calculating TSR, which is inclusive of dividend payments, the dividend yield assumption is zero</w:t>
      </w:r>
      <w:r>
        <w:rPr>
          <w:rFonts w:ascii="Arial" w:cs="Arial" w:eastAsia="Arial" w:hAnsi="Arial"/>
          <w:sz w:val="18"/>
          <w:szCs w:val="18"/>
          <w:i w:val="1"/>
          <w:iCs w:val="1"/>
          <w:color w:val="auto"/>
        </w:rPr>
        <w:t xml:space="preserve"> </w:t>
      </w:r>
      <w:r>
        <w:rPr>
          <w:rFonts w:ascii="Arial" w:cs="Arial" w:eastAsia="Arial" w:hAnsi="Arial"/>
          <w:sz w:val="18"/>
          <w:szCs w:val="18"/>
          <w:color w:val="auto"/>
        </w:rPr>
        <w:t>(i.e., stock prices include amounts that would otherwise have been paid as dividends). For purposes of discounting projected payouts to determine the fair value, the dividend yield assumption is also zero because the company is a non-dividend paying company.</w:t>
      </w:r>
    </w:p>
    <w:p>
      <w:pPr>
        <w:spacing w:after="0" w:line="115"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The following table summarizes the Company’s PSU activity during the three months ended March 29, 2025 :</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60" w:type="dxa"/>
            <w:vAlign w:val="bottom"/>
          </w:tcPr>
          <w:p>
            <w:pPr>
              <w:spacing w:after="0"/>
              <w:rPr>
                <w:sz w:val="16"/>
                <w:szCs w:val="16"/>
                <w:color w:val="auto"/>
              </w:rPr>
            </w:pPr>
          </w:p>
        </w:tc>
        <w:tc>
          <w:tcPr>
            <w:tcW w:w="1420" w:type="dxa"/>
            <w:vAlign w:val="bottom"/>
            <w:vMerge w:val="restart"/>
          </w:tcPr>
          <w:p>
            <w:pPr>
              <w:jc w:val="right"/>
              <w:ind w:right="13"/>
              <w:spacing w:after="0"/>
              <w:rPr>
                <w:sz w:val="20"/>
                <w:szCs w:val="20"/>
                <w:color w:val="auto"/>
              </w:rPr>
            </w:pPr>
            <w:r>
              <w:rPr>
                <w:rFonts w:ascii="Arial" w:cs="Arial" w:eastAsia="Arial" w:hAnsi="Arial"/>
                <w:sz w:val="16"/>
                <w:szCs w:val="16"/>
                <w:b w:val="1"/>
                <w:bCs w:val="1"/>
                <w:color w:val="auto"/>
              </w:rPr>
              <w:t>Number of Units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tcPr>
          <w:p>
            <w:pPr>
              <w:jc w:val="right"/>
              <w:ind w:right="34"/>
              <w:spacing w:after="0"/>
              <w:rPr>
                <w:sz w:val="20"/>
                <w:szCs w:val="20"/>
                <w:color w:val="auto"/>
              </w:rPr>
            </w:pPr>
            <w:r>
              <w:rPr>
                <w:rFonts w:ascii="Arial" w:cs="Arial" w:eastAsia="Arial" w:hAnsi="Arial"/>
                <w:sz w:val="16"/>
                <w:szCs w:val="16"/>
                <w:b w:val="1"/>
                <w:bCs w:val="1"/>
                <w:color w:val="auto"/>
                <w:w w:val="97"/>
              </w:rPr>
              <w:t>Weighted Average Grant Date</w:t>
            </w:r>
          </w:p>
        </w:tc>
        <w:tc>
          <w:tcPr>
            <w:tcW w:w="0" w:type="dxa"/>
            <w:vAlign w:val="bottom"/>
          </w:tcPr>
          <w:p>
            <w:pPr>
              <w:spacing w:after="0"/>
              <w:rPr>
                <w:sz w:val="1"/>
                <w:szCs w:val="1"/>
                <w:color w:val="auto"/>
              </w:rPr>
            </w:pPr>
          </w:p>
        </w:tc>
      </w:tr>
      <w:tr>
        <w:trPr>
          <w:trHeight w:val="212"/>
        </w:trPr>
        <w:tc>
          <w:tcPr>
            <w:tcW w:w="706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Fair Value Per Unit</w:t>
            </w:r>
          </w:p>
        </w:tc>
        <w:tc>
          <w:tcPr>
            <w:tcW w:w="0" w:type="dxa"/>
            <w:vAlign w:val="bottom"/>
          </w:tcPr>
          <w:p>
            <w:pPr>
              <w:spacing w:after="0"/>
              <w:rPr>
                <w:sz w:val="1"/>
                <w:szCs w:val="1"/>
                <w:color w:val="auto"/>
              </w:rPr>
            </w:pPr>
          </w:p>
        </w:tc>
      </w:tr>
      <w:tr>
        <w:trPr>
          <w:trHeight w:val="218"/>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Unvested at December 31, 2024</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25"/>
        </w:trPr>
        <w:tc>
          <w:tcPr>
            <w:tcW w:w="7060" w:type="dxa"/>
            <w:vAlign w:val="bottom"/>
          </w:tcPr>
          <w:p>
            <w:pPr>
              <w:ind w:left="2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Canceled/Forfeited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(80,307)</w:t>
            </w:r>
          </w:p>
        </w:tc>
        <w:tc>
          <w:tcPr>
            <w:tcW w:w="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2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43"/>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Unvested at March 29, 2025</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145,660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firstLine="318"/>
        <w:spacing w:after="0" w:line="276" w:lineRule="auto"/>
        <w:rPr>
          <w:sz w:val="20"/>
          <w:szCs w:val="20"/>
          <w:color w:val="auto"/>
        </w:rPr>
      </w:pPr>
      <w:r>
        <w:rPr>
          <w:rFonts w:ascii="Arial" w:cs="Arial" w:eastAsia="Arial" w:hAnsi="Arial"/>
          <w:sz w:val="18"/>
          <w:szCs w:val="18"/>
          <w:color w:val="auto"/>
        </w:rPr>
        <w:t>The total grant date fair value of the awards was determined to be $3.3 million, with each tranche of the awards representing $1.1 million of the total expense. The requisite service period for each tranche of the award is 10 months, 22 months and 34 months, respectively. Share-based compensation expense related to PSUs is recognized on a straight-line basis over their requisite service periods, regardless of whether the market condition is ultimately satisfied. Share-based compensation expense is not reversed if the achievement of the market condition does not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412" w:right="3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0" w:firstLine="318"/>
        <w:spacing w:after="0" w:line="275" w:lineRule="auto"/>
        <w:rPr>
          <w:sz w:val="20"/>
          <w:szCs w:val="20"/>
          <w:color w:val="auto"/>
        </w:rPr>
      </w:pPr>
      <w:r>
        <w:rPr>
          <w:rFonts w:ascii="Arial" w:cs="Arial" w:eastAsia="Arial" w:hAnsi="Arial"/>
          <w:sz w:val="18"/>
          <w:szCs w:val="18"/>
          <w:color w:val="auto"/>
        </w:rPr>
        <w:t>In the three months ended March 29, 2025, the Company recorded $0.2 million of share-based compensation expense related to Tranche II and Tranche III of the PSUs. In the three months ended March 30, 2024, the Company recorded $0.2 million of share-based compensation expense related to Tranche I, II and III of the PSUs. The share-based compensation expense is included in SG&amp;A expenses in the Company’s condensed consolidated statements of operations.</w:t>
      </w:r>
    </w:p>
    <w:p>
      <w:pPr>
        <w:spacing w:after="0" w:line="125" w:lineRule="exact"/>
        <w:rPr>
          <w:sz w:val="20"/>
          <w:szCs w:val="20"/>
          <w:color w:val="auto"/>
        </w:rPr>
      </w:pPr>
    </w:p>
    <w:p>
      <w:pPr>
        <w:ind w:right="340" w:firstLine="318"/>
        <w:spacing w:after="0" w:line="305" w:lineRule="auto"/>
        <w:rPr>
          <w:sz w:val="20"/>
          <w:szCs w:val="20"/>
          <w:color w:val="auto"/>
        </w:rPr>
      </w:pPr>
      <w:r>
        <w:rPr>
          <w:rFonts w:ascii="Arial" w:cs="Arial" w:eastAsia="Arial" w:hAnsi="Arial"/>
          <w:sz w:val="18"/>
          <w:szCs w:val="18"/>
          <w:color w:val="auto"/>
        </w:rPr>
        <w:t>As of March 29, 2025, there was $1.1 million in unrecognized compensation expense related to unvested PSUs which is expected to be recognized over a weighted average vesting period of 1.4 years.</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March 29, 2025, the maximum aggregate number of shares that may be issued under the 2018 Employee Stock Purchase Plan</w:t>
      </w:r>
    </w:p>
    <w:p>
      <w:pPr>
        <w:spacing w:after="0" w:line="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(“2018 ESPP”) was 4,020,975 shares of common stock, including an increase of 536,130 shares effective January 1, 2025 under the terms of the 2018 ESPP. The 2018 ESPP is expected to be implemented through a series of offerings under which participants are granted purchase rights to purchase shares of the Company’s common stock on specified dates during such offerings. The administrator has not yet approved an offering under the 2018 ESPP.</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3</w:t>
      </w:r>
      <w:r>
        <w:rPr>
          <w:rFonts w:ascii="Arial" w:cs="Arial" w:eastAsia="Arial" w:hAnsi="Arial"/>
          <w:sz w:val="18"/>
          <w:szCs w:val="18"/>
          <w:color w:val="auto"/>
        </w:rPr>
        <w:t>.</w:t>
      </w:r>
    </w:p>
    <w:p>
      <w:pPr>
        <w:spacing w:after="0" w:line="191" w:lineRule="exact"/>
        <w:rPr>
          <w:sz w:val="20"/>
          <w:szCs w:val="20"/>
          <w:color w:val="auto"/>
        </w:rPr>
      </w:pPr>
    </w:p>
    <w:p>
      <w:pPr>
        <w:ind w:right="300" w:firstLine="318"/>
        <w:spacing w:after="0" w:line="290" w:lineRule="auto"/>
        <w:rPr>
          <w:sz w:val="20"/>
          <w:szCs w:val="20"/>
          <w:color w:val="auto"/>
        </w:rPr>
      </w:pPr>
      <w:r>
        <w:rPr>
          <w:rFonts w:ascii="Arial" w:cs="Arial" w:eastAsia="Arial" w:hAnsi="Arial"/>
          <w:sz w:val="18"/>
          <w:szCs w:val="18"/>
          <w:color w:val="auto"/>
        </w:rPr>
        <w:t>On January 14, 2021, the Company entered into the Campus Lease with HC Hornet Way, LLC, a Delaware limited liability company (the “Landlord”), to house the Company’s Campus Headquarters.</w:t>
      </w:r>
    </w:p>
    <w:p>
      <w:pPr>
        <w:spacing w:after="0" w:line="109" w:lineRule="exact"/>
        <w:rPr>
          <w:sz w:val="20"/>
          <w:szCs w:val="20"/>
          <w:color w:val="auto"/>
        </w:rPr>
      </w:pPr>
    </w:p>
    <w:p>
      <w:pPr>
        <w:ind w:firstLine="318"/>
        <w:spacing w:after="0" w:line="275" w:lineRule="auto"/>
        <w:rPr>
          <w:sz w:val="20"/>
          <w:szCs w:val="20"/>
          <w:color w:val="auto"/>
        </w:rPr>
      </w:pPr>
      <w:r>
        <w:rPr>
          <w:rFonts w:ascii="Arial" w:cs="Arial" w:eastAsia="Arial" w:hAnsi="Arial"/>
          <w:sz w:val="18"/>
          <w:szCs w:val="18"/>
          <w:color w:val="auto"/>
        </w:rPr>
        <w:t>Under the terms of the Campus Lease, the Company will lease an aggregate of approximately 282,000 rentable square feet in a portion of a building located in El Segundo, California, to be built out by the Landlord and delivered to the Company in multiple phases. As of March 29, 2025 and December 31, 2024, the Company has recognized a right-of-use asset and lease liability for Phase 1-A and Phase 1-B in its condensed consolidated balance sheet.</w:t>
      </w:r>
    </w:p>
    <w:p>
      <w:pPr>
        <w:spacing w:after="0" w:line="138" w:lineRule="exact"/>
        <w:rPr>
          <w:sz w:val="20"/>
          <w:szCs w:val="20"/>
          <w:color w:val="auto"/>
        </w:rPr>
      </w:pPr>
    </w:p>
    <w:p>
      <w:pPr>
        <w:ind w:right="20" w:firstLine="318"/>
        <w:spacing w:after="0" w:line="271" w:lineRule="auto"/>
        <w:rPr>
          <w:sz w:val="20"/>
          <w:szCs w:val="20"/>
          <w:color w:val="auto"/>
        </w:rPr>
      </w:pPr>
      <w:r>
        <w:rPr>
          <w:rFonts w:ascii="Arial" w:cs="Arial" w:eastAsia="Arial" w:hAnsi="Arial"/>
          <w:sz w:val="18"/>
          <w:szCs w:val="18"/>
          <w:color w:val="auto"/>
        </w:rPr>
        <w:t>On September 17, 2024, the Company entered into an amendment to the Campus Lease, which amendment: (i) revised the square footage of the premises, building and project to: (a) increase the Company’s base rent by approximately $851,000 over the initial lease term; (b) adjust the Company’s percentage share of direct expenses; and (c) increase the tenant improvement allowance to reflect a reduction in the scope of landlord’s work; (ii) specify which improvements must be removed by the Company from the premises if the premises are not occupied in their entirety throughout the initial lease term and first extension term; and (iii) address other ministerial matters concerning the Campus Lease. Aggregate payments towards base rent over the initial lease term associated with the remaining phases not yet delivered to the Company will be approximately $79.6 million.</w:t>
      </w:r>
    </w:p>
    <w:p>
      <w:pPr>
        <w:spacing w:after="0" w:line="126" w:lineRule="exact"/>
        <w:rPr>
          <w:sz w:val="20"/>
          <w:szCs w:val="20"/>
          <w:color w:val="auto"/>
        </w:rPr>
      </w:pPr>
    </w:p>
    <w:p>
      <w:pPr>
        <w:ind w:right="20" w:firstLine="318"/>
        <w:spacing w:after="0" w:line="270" w:lineRule="auto"/>
        <w:rPr>
          <w:sz w:val="20"/>
          <w:szCs w:val="20"/>
          <w:color w:val="auto"/>
        </w:rPr>
      </w:pPr>
      <w:r>
        <w:rPr>
          <w:rFonts w:ascii="Arial" w:cs="Arial" w:eastAsia="Arial" w:hAnsi="Arial"/>
          <w:sz w:val="18"/>
          <w:szCs w:val="18"/>
          <w:color w:val="auto"/>
        </w:rPr>
        <w:t>Concurrent with the Company’s execution of the Campus Lease, the Company delivered to the Landlord a letter of credit in the amount of $12.5 million as security for the performance of its obligations under the Campus Lease, which amount will decrease to: (i) $6.3 million on the fifth (5th) anniversary of the Rent Commencement Date (as defined in the Campus Lease); (ii) $3.1 million on the eighth (8th) anniversary of the Rent Commencement Date; and (iii) $0 in the event the Company receives certain credit ratings; provided the Company is not then in default of its obligations under the Campus Lease. The letter of credit is secured by a $12.6 million deposit included in the Company’s condensed consolidated balance sheets as “Restricted cash, non-current” as of March 29, 2025 and December 31, 2024.</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lease on the Company’s Manhattan Beach Project Innovation Center expired on January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80" w:firstLine="318"/>
        <w:spacing w:after="0" w:line="272" w:lineRule="auto"/>
        <w:rPr>
          <w:sz w:val="20"/>
          <w:szCs w:val="20"/>
          <w:color w:val="auto"/>
        </w:rPr>
      </w:pPr>
      <w:r>
        <w:rPr>
          <w:rFonts w:ascii="Arial" w:cs="Arial" w:eastAsia="Arial" w:hAnsi="Arial"/>
          <w:sz w:val="18"/>
          <w:szCs w:val="18"/>
          <w:color w:val="auto"/>
        </w:rPr>
        <w:t>Given the Company’s intention to reduce its overall operating expenses and cash expenditures, on February 2, 2024, the Company terminated the agreement to purchase the Enschede Property and the security deposit was returned to the Company, which was subsequently paid to the purchaser of the property to be applied towards the deposit and future lease payments. The Company entered into a lease agreement with the purchaser of the property to lease the approximately 114,000 square foot property for an initial period of five years with an option to renew for an additional five years at an annual rent of approximately €1.0 million.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China Investment and Lease Agreement</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2020, the Company and its subsidiary, BYND JX, entered into an investment agreement with the Administrative Committee (the “JX</w:t>
      </w:r>
    </w:p>
    <w:p>
      <w:pPr>
        <w:spacing w:after="0" w:line="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Committee”) of the Jiaxing Economic &amp; Technological Development Zone (the “JXEDZ”) pursuant to which, among other things, BYND JX has agreed to make certain investments in the JXEDZ in two phases of development, and the Company has agreed to guarantee certain repayment obligations of BYND JX under such agreement. In the three months ended March 29, 2025 and March 30, 2024, the Company received $0 and $0.5 million, respectively, in subsidies from the JXEDZ Finance Bureau.</w:t>
      </w:r>
    </w:p>
    <w:p>
      <w:pPr>
        <w:spacing w:after="0" w:line="151" w:lineRule="exact"/>
        <w:rPr>
          <w:sz w:val="20"/>
          <w:szCs w:val="20"/>
          <w:color w:val="auto"/>
        </w:rPr>
      </w:pPr>
    </w:p>
    <w:p>
      <w:pPr>
        <w:ind w:right="20" w:firstLine="318"/>
        <w:spacing w:after="0" w:line="287" w:lineRule="auto"/>
        <w:rPr>
          <w:sz w:val="20"/>
          <w:szCs w:val="20"/>
          <w:color w:val="auto"/>
        </w:rPr>
      </w:pPr>
      <w:r>
        <w:rPr>
          <w:rFonts w:ascii="Arial" w:cs="Arial" w:eastAsia="Arial" w:hAnsi="Arial"/>
          <w:sz w:val="17"/>
          <w:szCs w:val="17"/>
          <w:color w:val="auto"/>
        </w:rPr>
        <w:t>During Phase 1, the Company agreed to invest $10.0 million as the registered capital of BYND JX in the JXEDZ through intercompany investment in BYND JX and BYND JX agreed to lease a facility in the JXEDZ for a minimum of two years. In connection with such agreement, BYND JX entered into a factory leasing contract with a JXEDZ company, pursuant to which BYND JX agreed to lease and renovate a facility in the JXEDZ and lease it for a minimum of two years. In the year ended December 31, 2022, the lease was amended to extend the term for an additional five years without rent escalation. In the fourth quarter of 2021, BYND JX leased an approximately 12,000 square foot facility in Shanghai, China, for a period of eight years, which is used as a local research and development facility. In connection with its suspension of operational activities in China, the Company sent the landlord a notice of termination of this lease effective as of May 20, 2025. As of March 29, 2025, the Company had invested $22.0 million as the registered capital of BYND JX and advanced $20.0 million to BYND JX.</w:t>
      </w:r>
    </w:p>
    <w:p>
      <w:pPr>
        <w:spacing w:after="0" w:line="131" w:lineRule="exact"/>
        <w:rPr>
          <w:sz w:val="20"/>
          <w:szCs w:val="20"/>
          <w:color w:val="auto"/>
        </w:rPr>
      </w:pPr>
    </w:p>
    <w:p>
      <w:pPr>
        <w:ind w:right="160" w:firstLine="318"/>
        <w:spacing w:after="0" w:line="272" w:lineRule="auto"/>
        <w:rPr>
          <w:sz w:val="20"/>
          <w:szCs w:val="20"/>
          <w:color w:val="auto"/>
        </w:rPr>
      </w:pPr>
      <w:r>
        <w:rPr>
          <w:rFonts w:ascii="Arial" w:cs="Arial" w:eastAsia="Arial" w:hAnsi="Arial"/>
          <w:sz w:val="18"/>
          <w:szCs w:val="18"/>
          <w:color w:val="auto"/>
        </w:rPr>
        <w:t>In the event that the Company and BYND JX determine, in their sole discretion, to proceed with the Phase 2 development in the JXEDZ, BYND JX has agreed in the first stage of Phase 2 to increase its registered capital to $40.0 million and to acquire the land use right to a state-owned land plot in the JXEDZ to conduct development and construction of a new production facility. Following the first stage of Phase 2, the Company and BYND JX may determine, in their sole discretion, to permit BYND JX to obtain a second state-owned land plot in the JXEDZ in order to construct an additional facility thereon.</w:t>
      </w:r>
    </w:p>
    <w:p>
      <w:pPr>
        <w:spacing w:after="0" w:line="126" w:lineRule="exact"/>
        <w:rPr>
          <w:sz w:val="20"/>
          <w:szCs w:val="20"/>
          <w:color w:val="auto"/>
        </w:rPr>
      </w:pPr>
    </w:p>
    <w:p>
      <w:pPr>
        <w:ind w:right="80" w:firstLine="318"/>
        <w:spacing w:after="0" w:line="305" w:lineRule="auto"/>
        <w:rPr>
          <w:sz w:val="20"/>
          <w:szCs w:val="20"/>
          <w:color w:val="auto"/>
        </w:rPr>
      </w:pPr>
      <w:r>
        <w:rPr>
          <w:rFonts w:ascii="Arial" w:cs="Arial" w:eastAsia="Arial" w:hAnsi="Arial"/>
          <w:sz w:val="18"/>
          <w:szCs w:val="18"/>
          <w:color w:val="auto"/>
        </w:rPr>
        <w:t>On February 24, 2025, as part of the Company’s Global Operations Review, the Company’s board of directors approved a plan to suspend the Company’s operational activities in China, which are estimated to cease by the end of the second quarter of 2025.</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The Planet Partnership</w:t>
      </w:r>
    </w:p>
    <w:p>
      <w:pPr>
        <w:spacing w:after="0" w:line="177" w:lineRule="exact"/>
        <w:rPr>
          <w:sz w:val="20"/>
          <w:szCs w:val="20"/>
          <w:color w:val="auto"/>
        </w:rPr>
      </w:pPr>
    </w:p>
    <w:p>
      <w:pPr>
        <w:ind w:right="60" w:firstLine="318"/>
        <w:spacing w:after="0" w:line="296" w:lineRule="auto"/>
        <w:rPr>
          <w:sz w:val="20"/>
          <w:szCs w:val="20"/>
          <w:color w:val="auto"/>
        </w:rPr>
      </w:pPr>
      <w:r>
        <w:rPr>
          <w:rFonts w:ascii="Arial" w:cs="Arial" w:eastAsia="Arial" w:hAnsi="Arial"/>
          <w:sz w:val="17"/>
          <w:szCs w:val="17"/>
          <w:color w:val="auto"/>
        </w:rPr>
        <w:t xml:space="preserve">In 2021, the Company entered into the Planet Partnership, LLC (“TPP”), a joint venture with PepsiCo, Inc., to develop, produce and market innovative snack and beverage products made from plant-based protein. In the three months ended March 29, 2025 and March 30, 2024, the Company recognized its share of the net loss (income) in TPP in the amount of $11,000 and $(7,000), respectively. As of March 29, 2025 and December 31, 2024, the Company had contributed its share of the investment in TPP in the amount of $27.6 million. See </w:t>
      </w:r>
      <w:r>
        <w:rPr>
          <w:rFonts w:ascii="Arial" w:cs="Arial" w:eastAsia="Arial" w:hAnsi="Arial"/>
          <w:sz w:val="17"/>
          <w:szCs w:val="17"/>
          <w:u w:val="single" w:color="auto"/>
          <w:color w:val="0000FF"/>
        </w:rPr>
        <w:t>Note 12</w:t>
      </w:r>
      <w:r>
        <w:rPr>
          <w:rFonts w:ascii="Arial" w:cs="Arial" w:eastAsia="Arial" w:hAnsi="Arial"/>
          <w:sz w:val="17"/>
          <w:szCs w:val="17"/>
          <w:color w:val="auto"/>
        </w:rPr>
        <w:t>.</w:t>
      </w:r>
    </w:p>
    <w:p>
      <w:pPr>
        <w:spacing w:after="0" w:line="109" w:lineRule="exact"/>
        <w:rPr>
          <w:sz w:val="20"/>
          <w:szCs w:val="20"/>
          <w:color w:val="auto"/>
        </w:rPr>
      </w:pPr>
    </w:p>
    <w:p>
      <w:pPr>
        <w:ind w:right="100" w:firstLine="318"/>
        <w:spacing w:after="0" w:line="283" w:lineRule="auto"/>
        <w:rPr>
          <w:sz w:val="20"/>
          <w:szCs w:val="20"/>
          <w:color w:val="auto"/>
        </w:rPr>
      </w:pPr>
      <w:r>
        <w:rPr>
          <w:rFonts w:ascii="Arial" w:cs="Arial" w:eastAsia="Arial" w:hAnsi="Arial"/>
          <w:sz w:val="18"/>
          <w:szCs w:val="18"/>
          <w:color w:val="auto"/>
        </w:rPr>
        <w:t>In 2023, the Company continued the process of renegotiating certain contracts and changing operating activities related to Beyond Meat Jerky and assumed distribution responsibilities for Beyond Meat Jerky in the fourth quarter of 2023. As part of its Global Operations Review, in 2023, the Company made the decision to discontinue the Beyond Meat Jerky product line and discontinued it in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412" w:right="3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77" w:lineRule="exact"/>
        <w:rPr>
          <w:sz w:val="20"/>
          <w:szCs w:val="20"/>
          <w:color w:val="auto"/>
        </w:rPr>
      </w:pPr>
    </w:p>
    <w:p>
      <w:pPr>
        <w:ind w:right="160" w:firstLine="318"/>
        <w:spacing w:after="0" w:line="273" w:lineRule="auto"/>
        <w:rPr>
          <w:sz w:val="20"/>
          <w:szCs w:val="20"/>
          <w:color w:val="auto"/>
        </w:rPr>
      </w:pPr>
      <w:r>
        <w:rPr>
          <w:rFonts w:ascii="Arial" w:cs="Arial" w:eastAsia="Arial" w:hAnsi="Arial"/>
          <w:sz w:val="18"/>
          <w:szCs w:val="18"/>
          <w:color w:val="auto"/>
        </w:rPr>
        <w:t>On July 1, 2023, the Company and Roquette Frères entered into a second amendment (the “Second Amendment”) to the Company’s existing pea protein supply agreement dated January 10, 2020, as amended by the first amendment dated August 3, 2022 (the “First Amendment”). Pursuant to the Second Amendment, the terms of the agreement and existing purchase commitments set forth in the First Amendment were revised and extended through December 31, 2025. Pursuant to the Second Amendment, the purchase commitment was revised such that the Company had committed to purchase pea protein inventory totaling $17.0 million in 2025, of which $13.6 million remains as of March 29, 2025.</w:t>
      </w:r>
    </w:p>
    <w:p>
      <w:pPr>
        <w:spacing w:after="0" w:line="124" w:lineRule="exact"/>
        <w:rPr>
          <w:sz w:val="20"/>
          <w:szCs w:val="20"/>
          <w:color w:val="auto"/>
        </w:rPr>
      </w:pPr>
    </w:p>
    <w:p>
      <w:pPr>
        <w:ind w:right="200" w:firstLine="318"/>
        <w:spacing w:after="0" w:line="272" w:lineRule="auto"/>
        <w:rPr>
          <w:sz w:val="20"/>
          <w:szCs w:val="20"/>
          <w:color w:val="auto"/>
        </w:rPr>
      </w:pPr>
      <w:r>
        <w:rPr>
          <w:rFonts w:ascii="Arial" w:cs="Arial" w:eastAsia="Arial" w:hAnsi="Arial"/>
          <w:sz w:val="18"/>
          <w:szCs w:val="18"/>
          <w:color w:val="auto"/>
        </w:rPr>
        <w:t xml:space="preserve">On April 6, 2022, the Company entered into a co-manufacturing agreement (“Agreement”) with a co-manufacturer to manufacture various products for the Company. The Agreement included a minimum order quantity commitment per month and an aggregate quantity over a five-year term. On November 21, 2023, the Company terminated the Agreement because the co-manufacturer failed to meet its obligations under the Agreement and recorded $4.4 million in termination-related charges. In March 2024, the co-manufacturer brought an action against the Company in a confidential arbitration proceeding. See </w:t>
      </w:r>
      <w:r>
        <w:rPr>
          <w:rFonts w:ascii="Arial" w:cs="Arial" w:eastAsia="Arial" w:hAnsi="Arial"/>
          <w:sz w:val="18"/>
          <w:szCs w:val="18"/>
          <w:i w:val="1"/>
          <w:iCs w:val="1"/>
          <w:color w:val="auto"/>
        </w:rPr>
        <w:t>Litigation—Arbitration with Former Co-Manufacturer</w:t>
      </w:r>
      <w:r>
        <w:rPr>
          <w:rFonts w:ascii="Arial" w:cs="Arial" w:eastAsia="Arial" w:hAnsi="Arial"/>
          <w:sz w:val="18"/>
          <w:szCs w:val="18"/>
          <w:color w:val="auto"/>
        </w:rPr>
        <w:t>.</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Litigation</w:t>
      </w:r>
    </w:p>
    <w:p>
      <w:pPr>
        <w:spacing w:after="0" w:line="177" w:lineRule="exact"/>
        <w:rPr>
          <w:sz w:val="20"/>
          <w:szCs w:val="20"/>
          <w:color w:val="auto"/>
        </w:rPr>
      </w:pPr>
    </w:p>
    <w:p>
      <w:pPr>
        <w:ind w:right="20" w:firstLine="318"/>
        <w:spacing w:after="0" w:line="269" w:lineRule="auto"/>
        <w:rPr>
          <w:sz w:val="20"/>
          <w:szCs w:val="20"/>
          <w:color w:val="auto"/>
        </w:rPr>
      </w:pPr>
      <w:r>
        <w:rPr>
          <w:rFonts w:ascii="Arial" w:cs="Arial" w:eastAsia="Arial" w:hAnsi="Arial"/>
          <w:sz w:val="18"/>
          <w:szCs w:val="18"/>
          <w:color w:val="auto"/>
        </w:rPr>
        <w:t>In connection with the matters described below, the Company has accrued for loss contingencies where it believes that losses are probable and estimable. No loss contingency is recorded for matters where such losses are either not probable or reasonably estimable (or both). Although it is reasonably possible that actual losses could be in excess of the Company’s accrual, the Company is unable to estimate a reasonably possible loss or range of loss in excess of its accrual, due to various reasons, including, among others, that: (i) the proceedings are in early stages or no claims have been asserted, (ii) specific damages have not been sought in all of these matters, (iii) damages, if asserted, are considered unsupported and/or exaggerated, (iv) there is uncertainty as to the outcome of pending appeals, motions or settlements, (v) there are significant factual issues to be resolved, and/or (vi) there are novel legal issues or unsettled legal theories presented. It is not possible to predict the ultimate outcome of all pending legal proceedings, and some of the matters discussed below seek or may seek potentially large and/or indeterminate amounts. Any such loss or excess loss could have a material effect on the Company’s results of operations or cash flows or on the Company’s financial condition.</w:t>
      </w:r>
    </w:p>
    <w:p>
      <w:pPr>
        <w:spacing w:after="0" w:line="145" w:lineRule="exact"/>
        <w:rPr>
          <w:sz w:val="20"/>
          <w:szCs w:val="20"/>
          <w:color w:val="auto"/>
        </w:rPr>
      </w:pPr>
    </w:p>
    <w:p>
      <w:pPr>
        <w:jc w:val="both"/>
        <w:ind w:right="240" w:firstLine="318"/>
        <w:spacing w:after="0" w:line="275" w:lineRule="auto"/>
        <w:rPr>
          <w:sz w:val="20"/>
          <w:szCs w:val="20"/>
          <w:color w:val="auto"/>
        </w:rPr>
      </w:pPr>
      <w:r>
        <w:rPr>
          <w:rFonts w:ascii="Arial" w:cs="Arial" w:eastAsia="Arial" w:hAnsi="Arial"/>
          <w:sz w:val="18"/>
          <w:szCs w:val="18"/>
          <w:color w:val="auto"/>
        </w:rPr>
        <w:t>In addition to the matters described below, the Company is involved in various other legal proceedings, claims and litigation arising in the ordinary course of business. Based on the facts currently available, the Company does not believe that the disposition of such other matters that are pending or asserted will have a material effect on its financial statements.</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Aliments BVeggie, Inc.</w:t>
      </w:r>
    </w:p>
    <w:p>
      <w:pPr>
        <w:spacing w:after="0" w:line="177" w:lineRule="exact"/>
        <w:rPr>
          <w:sz w:val="20"/>
          <w:szCs w:val="20"/>
          <w:color w:val="auto"/>
        </w:rPr>
      </w:pPr>
    </w:p>
    <w:p>
      <w:pPr>
        <w:ind w:firstLine="318"/>
        <w:spacing w:after="0" w:line="269" w:lineRule="auto"/>
        <w:rPr>
          <w:sz w:val="20"/>
          <w:szCs w:val="20"/>
          <w:color w:val="auto"/>
        </w:rPr>
      </w:pPr>
      <w:r>
        <w:rPr>
          <w:rFonts w:ascii="Arial" w:cs="Arial" w:eastAsia="Arial" w:hAnsi="Arial"/>
          <w:sz w:val="18"/>
          <w:szCs w:val="18"/>
          <w:color w:val="auto"/>
        </w:rPr>
        <w:t>In November 2023, Aliments BVeggie, Inc. (“BVeggie”) filed and served legal proceedings against the Company before the Superior Court of Quebec’s District of Montreal. BVeggie alleges, among other things that: (i) in 2019, the Company and BVeggie entered into a co-manufacturing agreement, by which BVeggie would produce and deliver products for the benefit of the Company, in exchange for a tolling fee to be paid per pound of product produced and delivered to the Company; (ii) the Company would have made false and misleading statements regarding the volume of purchase orders it would provide BVeggie; (iii) BVeggie invested significant sums to adapt its facilities for the intended production; (iv) the Company fell short of its undertakings and promises; and (v) in March 2023, the Company illegally terminated the business relationship. BVeggie intends to claim damages in the total amount of 129,841,920 CAD, in compensation for its investments, lost profits and the repairs needed to be made to its facility post-termination of the business relationship and removal of the Company’s equipment. The case is at a preliminary stage. The Company intends to vigorously defend against these claims. On December 7, 2023, the Company filed a motion for declinatory exception to stay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412"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proceedings pending before the Superior Court of Quebec, district of Montreal, and refer the dispute to arbitration in California. A hearing on the motion for declinatory exception occurred on April 25, 2024. By judgment dated May 9, 2024, the Superior Court of Quebec granted the motion for declinatory exception filed by the Company and declared that the courts sitting in Los Angeles County, in the State of California, are in a better position to decide the dispute. BVeggie appealed the court’s decision on June 7, 2024, and the Company filed a cross-appeal on June 18, 2024. The appeals are expected to be heard by the end of 2025. The litigation in Quebec is currently suspended pending the outcome of the appeals.</w:t>
      </w:r>
    </w:p>
    <w:p>
      <w:pPr>
        <w:spacing w:after="0" w:line="124" w:lineRule="exact"/>
        <w:rPr>
          <w:sz w:val="20"/>
          <w:szCs w:val="20"/>
          <w:color w:val="auto"/>
        </w:rPr>
      </w:pPr>
    </w:p>
    <w:p>
      <w:pPr>
        <w:ind w:right="80" w:firstLine="318"/>
        <w:spacing w:after="0" w:line="275" w:lineRule="auto"/>
        <w:rPr>
          <w:sz w:val="20"/>
          <w:szCs w:val="20"/>
          <w:color w:val="auto"/>
        </w:rPr>
      </w:pPr>
      <w:r>
        <w:rPr>
          <w:rFonts w:ascii="Arial" w:cs="Arial" w:eastAsia="Arial" w:hAnsi="Arial"/>
          <w:sz w:val="18"/>
          <w:szCs w:val="18"/>
          <w:color w:val="auto"/>
        </w:rPr>
        <w:t>In June 2024 and in parallel to the litigation mentioned above, BVeggie filed and served legal proceedings against the Company before the Superior Court of Quebec’s District of Montreal, asking that an agreement between the parties by which BVeggie was to purchase certain machinery from the Company, in the amount of $5.1 million, be voided. This litigation is also currently suspended pending the outcome of the aforementioned appeals.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Saskatchewan Healthcare Employees’ Pension Plan v. Beyond Meat, Inc. et al.</w:t>
      </w:r>
    </w:p>
    <w:p>
      <w:pPr>
        <w:spacing w:after="0" w:line="191" w:lineRule="exact"/>
        <w:rPr>
          <w:sz w:val="20"/>
          <w:szCs w:val="20"/>
          <w:color w:val="auto"/>
        </w:rPr>
      </w:pPr>
    </w:p>
    <w:p>
      <w:pPr>
        <w:ind w:right="20" w:firstLine="318"/>
        <w:spacing w:after="0" w:line="268" w:lineRule="auto"/>
        <w:rPr>
          <w:sz w:val="20"/>
          <w:szCs w:val="20"/>
          <w:color w:val="auto"/>
        </w:rPr>
      </w:pPr>
      <w:r>
        <w:rPr>
          <w:rFonts w:ascii="Arial" w:cs="Arial" w:eastAsia="Arial" w:hAnsi="Arial"/>
          <w:sz w:val="18"/>
          <w:szCs w:val="18"/>
          <w:color w:val="auto"/>
        </w:rPr>
        <w:t>On May 11, 2023, a class action complaint was filed against the Company and certain current and former officers and directors in the United States District Court for the Central District of California, captioned Retail Wholesale Department Store Union Local 338 Retirement Fund v. Beyond Meat, Inc., et al., Case No. 2:23-cv-03602. On July 26, 2023, the Court granted Saskatchewan Healthcare Employees’ Pension Plan’s motion to be appointed lead plaintiff and for its counsel to be appointed lead counsel. On August 9, 2023, the case was re-captioned as Saskatchewan Healthcare Employees’ Pension Plan v. Beyond Meat, Inc., et al., Case No. 2:23-cv-03602 (“SHEPP Action”). On October 9, 2023, the plaintiffs filed a consolidated class action complaint. The complaint alleges, among other things, that the Company and the individual defendants made false and misleading statements or omissions regarding the Company’s ability to manufacture its products at scale and to its partners’ specifications. The complaint seeks an order certifying the class; awarding compensatory damages, interest, costs, expenses, attorneys’ and expert fees; and granting other unspecified equitable or injunctive relief. The complaint alleges causes of action under Sections 10(b), 20(a), and 20A of the Securities Exchange Act of 1934, as amended (the “Exchange Act”), on behalf of a putative class of investors who purchased the Company’s common stock between May 5, 2020 and October 13, 2022, inclusive. On December 8, 2023, the Company and the individual defendants filed a motion to dismiss the consolidated class action complaint. The parties completed briefing on the motion to dismiss in March 2024. On August 9, 2024, the court granted defendants’ motion to dismiss but granted plaintiffs’ leave to amend. Plaintiffs filed a first amended complaint on September 6, 2024 (the “First Amended Complaint”), which no longer asserted a claim under Section 20A and which no longer included two of the individual defendants from the original complaint. Defendants filed a motion to dismiss the First Amended Complaint on September 30, 2024. A hearing was held on November 25, 2024. On February 27, 2025, the court granted Defendants’ motion to dismiss the First Amended Complaint in its entirety and dismissed all of the plaintiffs’ claims with prejudice. Plaintiffs did not appeal the court’s decision. Accordingly, the SHEPP Action was terminated.</w:t>
      </w:r>
    </w:p>
    <w:p>
      <w:pPr>
        <w:spacing w:after="0" w:line="11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Stockholder Derivative Litigation Actions</w:t>
      </w:r>
    </w:p>
    <w:p>
      <w:pPr>
        <w:spacing w:after="0" w:line="191" w:lineRule="exact"/>
        <w:rPr>
          <w:sz w:val="20"/>
          <w:szCs w:val="20"/>
          <w:color w:val="auto"/>
        </w:rPr>
      </w:pPr>
    </w:p>
    <w:p>
      <w:pPr>
        <w:ind w:right="20" w:firstLine="318"/>
        <w:spacing w:after="0" w:line="286" w:lineRule="auto"/>
        <w:rPr>
          <w:sz w:val="20"/>
          <w:szCs w:val="20"/>
          <w:color w:val="auto"/>
        </w:rPr>
      </w:pPr>
      <w:r>
        <w:rPr>
          <w:rFonts w:ascii="Arial" w:cs="Arial" w:eastAsia="Arial" w:hAnsi="Arial"/>
          <w:sz w:val="17"/>
          <w:szCs w:val="17"/>
          <w:color w:val="auto"/>
        </w:rPr>
        <w:t>Following the SHEPP Action, derivative shareholder actions were filed by purported stockholders against the Company and certain directors and officers. On July 21, 2023, a derivative shareholder action was filed against certain current and former officers and directors of the Company in the United States District Court for the Central District of California, captioned Gervat v. Brown, et al., Case No. 2:23-cv-05954 (“Gervat Action”). The Gervat Action alleges substantially similar facts as those alleged in the SHEPP Action. The complaint asserts claims for breach of fiduciary duty, unjust enrichment, and gross mismanagement. It also asserts violations of Section 14(a) of the Exchange Act against a subset of defendants and seeks contribution for violations of Sections10(b) and 21D of the Exchange Act from the individual defendants named in the SHEPP Action. The Company is named as a nominal defendant only. On July 27, 2023, a second derivative shareholder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412"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action was filed in the United States District Court for the Central District of California, captioned Brink v. Brown, et al., Case No. 2:23-cv-06110 (“Brink Action”), alleging substantially the same causes of action as alleged in the Gervat Action and facts substantially similar to those alleged in the SHEPP Action. On August 15, 2023, the Gervat and Brink Actions were consolidated into a single matter, with the complaint in the Gervat Action being the operative one, and such consolidated case was captioned In Re Beyond Meat, Inc. Stockholder Derivative Litigation, Case No. 2:23-cv-05954 (“Consolidated Derivative Action”). The Consolidated Derivative Action was stayed pending resolution of the defendants’ motion to dismiss in the SHEPP Action. On April 28, 2025, the stay lifted. On May 7, 2025, the parties in the Consolidated Derivative Action filed a stipulation seeking that the court dismiss the action without prejudice.</w:t>
      </w:r>
    </w:p>
    <w:p>
      <w:pPr>
        <w:spacing w:after="0" w:line="126" w:lineRule="exact"/>
        <w:rPr>
          <w:sz w:val="20"/>
          <w:szCs w:val="20"/>
          <w:color w:val="auto"/>
        </w:rPr>
      </w:pPr>
    </w:p>
    <w:p>
      <w:pPr>
        <w:ind w:right="40" w:firstLine="318"/>
        <w:spacing w:after="0" w:line="271" w:lineRule="auto"/>
        <w:rPr>
          <w:sz w:val="20"/>
          <w:szCs w:val="20"/>
          <w:color w:val="auto"/>
        </w:rPr>
      </w:pPr>
      <w:r>
        <w:rPr>
          <w:rFonts w:ascii="Arial" w:cs="Arial" w:eastAsia="Arial" w:hAnsi="Arial"/>
          <w:sz w:val="18"/>
          <w:szCs w:val="18"/>
          <w:color w:val="auto"/>
        </w:rPr>
        <w:t>On August 4, 2023, a third derivative shareholder action was filed in the Superior Court of the State of California for the County of Los Angeles, captioned Moore v. Nelson, et al., Case No. 23STCV18587 (“Moore Action”), alleging causes of action substantially similar to those alleged in the Consolidated Derivative Action and facts substantially similar to those alleged in the SHEPP Action. On January 23, 2024, the plaintiff dismissed the complaint without prejudice. On December 8, 2023, a fourth derivative action was filed in the United States District Court for the District of Delaware, captioned Gilardy v. Brown, et al., Case No. 1:23-cv-01415 (“Gilardy Action”). The Gilardy Action alleges causes of action substantially similar to those alleged in the Consolidated Derivative Action and Moore Action and facts substantially similar to those alleged in the SHEPP Action. On April 23, 2025, the plaintiff dismissed the complaint without prejudice. On April 24, 2025, the court entered the order of dismissal.</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Litigation Pursuant to Section 220 of the Delaware General Corporation Law (“DGCL”)</w:t>
      </w:r>
    </w:p>
    <w:p>
      <w:pPr>
        <w:spacing w:after="0" w:line="191" w:lineRule="exact"/>
        <w:rPr>
          <w:sz w:val="20"/>
          <w:szCs w:val="20"/>
          <w:color w:val="auto"/>
        </w:rPr>
      </w:pPr>
    </w:p>
    <w:p>
      <w:pPr>
        <w:ind w:firstLine="318"/>
        <w:spacing w:after="0" w:line="271" w:lineRule="auto"/>
        <w:rPr>
          <w:sz w:val="20"/>
          <w:szCs w:val="20"/>
          <w:color w:val="auto"/>
        </w:rPr>
      </w:pPr>
      <w:r>
        <w:rPr>
          <w:rFonts w:ascii="Arial" w:cs="Arial" w:eastAsia="Arial" w:hAnsi="Arial"/>
          <w:sz w:val="18"/>
          <w:szCs w:val="18"/>
          <w:color w:val="auto"/>
        </w:rPr>
        <w:t>On November 17, 2023, purported stockholder Christina Brown (“Brown”) issued a books and records demand pursuant to Section 220 of the DGCL seeking documents, including board minutes and materials generally related to the same issues as those raised in the SHEPP Action and related derivative actions. On December 12, 2023, Brown filed a complaint in Delaware Chancery Court naming the Company as defendant and seeking such documents pursuant to Section 220, captioned Brown v. Beyond Meat, Case No. 2023-1262 (Del. Ch.). The parties submitted periodic status reports to the court on April 12, 2024, July 9, 2024, October 7, 2024 and December 9, 2024. On January 13, 2025, the court relieved the parties of any further reporting requirements and noted that the action remained stayed until relief is requested or the action is ripe for dismissal. On April 24, 2025, Brown dismissed the complaint without prejudice.</w:t>
      </w:r>
    </w:p>
    <w:p>
      <w:pPr>
        <w:spacing w:after="0" w:line="11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Consumer Class Actions Regarding Protein Claims</w:t>
      </w:r>
    </w:p>
    <w:p>
      <w:pPr>
        <w:spacing w:after="0" w:line="191" w:lineRule="exact"/>
        <w:rPr>
          <w:sz w:val="20"/>
          <w:szCs w:val="20"/>
          <w:color w:val="auto"/>
        </w:rPr>
      </w:pPr>
    </w:p>
    <w:p>
      <w:pPr>
        <w:ind w:firstLine="318"/>
        <w:spacing w:after="0" w:line="267" w:lineRule="auto"/>
        <w:rPr>
          <w:sz w:val="20"/>
          <w:szCs w:val="20"/>
          <w:color w:val="auto"/>
        </w:rPr>
      </w:pPr>
      <w:r>
        <w:rPr>
          <w:rFonts w:ascii="Arial" w:cs="Arial" w:eastAsia="Arial" w:hAnsi="Arial"/>
          <w:sz w:val="18"/>
          <w:szCs w:val="18"/>
          <w:color w:val="auto"/>
        </w:rPr>
        <w:t>From May 31, 2022 through January 13, 2023, multiple putative class action lawsuits were filed against the Company in various federal and state courts alleging that the labeling and marketing of certain of the Company’s products is false and/or misleading under federal and/or various states’ laws. Specifically, each of these lawsuits allege one or more of the following theories of liability: (i) that the labels and related marketing of the challenged products misstate the quantitative amount of protein that is provided by each serving of the product; (ii) that the labels and related marketing of the challenged products misstate the percent daily value of protein that is provided by each serving of the product; and (iii) that the Company has represented that the challenged products are “all-natural,” “organic,” or contain no “synthetic” ingredients when they in fact contain methylcellulose, an allegedly synthetic ingredient. The named plaintiffs of each complaint seek to represent classes of nationwide and/or state-specific consumers, and seek on behalf of the putative classes damages, restitution, and injunctive relief, among other relief. Additional complaints asserting these theories of liability are possible. Some lawsuits previously filed were voluntarily withdrawn or dismissed without prejudice, though they may be refiled.</w:t>
      </w:r>
    </w:p>
    <w:p>
      <w:pPr>
        <w:spacing w:after="0" w:line="149" w:lineRule="exact"/>
        <w:rPr>
          <w:sz w:val="20"/>
          <w:szCs w:val="20"/>
          <w:color w:val="auto"/>
        </w:rPr>
      </w:pPr>
    </w:p>
    <w:p>
      <w:pPr>
        <w:ind w:right="40" w:firstLine="318"/>
        <w:spacing w:after="0" w:line="275" w:lineRule="auto"/>
        <w:rPr>
          <w:sz w:val="20"/>
          <w:szCs w:val="20"/>
          <w:color w:val="auto"/>
        </w:rPr>
      </w:pPr>
      <w:r>
        <w:rPr>
          <w:rFonts w:ascii="Arial" w:cs="Arial" w:eastAsia="Arial" w:hAnsi="Arial"/>
          <w:sz w:val="18"/>
          <w:szCs w:val="18"/>
          <w:color w:val="auto"/>
        </w:rPr>
        <w:t>On November 14, 2022, the Company filed a motion with the Judicial Panel on Multidistrict Litigation to transfer and consolidate all pending class actions. No party opposed the motion, and the Panel held oral argument on the motion on January 26, 2023. The Panel granted the motion on February 1, 2023, consolidating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412"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the pending class action lawsuits and transferring them to Judge Sara Ellis in the Northern District of Illinois for pre-trial proceedings, In re:</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Beyond Meat, Inc. Protein Content Marketing and Sales Practices Litigation, No. 1:23-cv-00669 (N.D. Ill.) (the “MDL”).</w:t>
      </w:r>
    </w:p>
    <w:p>
      <w:pPr>
        <w:spacing w:after="0" w:line="184" w:lineRule="exact"/>
        <w:rPr>
          <w:sz w:val="20"/>
          <w:szCs w:val="20"/>
          <w:color w:val="auto"/>
        </w:rPr>
      </w:pPr>
    </w:p>
    <w:p>
      <w:pPr>
        <w:ind w:right="60" w:firstLine="318"/>
        <w:spacing w:after="0" w:line="275" w:lineRule="auto"/>
        <w:rPr>
          <w:sz w:val="20"/>
          <w:szCs w:val="20"/>
          <w:color w:val="auto"/>
        </w:rPr>
      </w:pPr>
      <w:r>
        <w:rPr>
          <w:rFonts w:ascii="Arial" w:cs="Arial" w:eastAsia="Arial" w:hAnsi="Arial"/>
          <w:sz w:val="18"/>
          <w:szCs w:val="18"/>
          <w:color w:val="auto"/>
        </w:rPr>
        <w:t>On March 3, 2023, the MDL court held the initial status conference. The MDL court granted plaintiffs’ motion to appoint interim class counsel. On May 3, 2023, plaintiffs filed an amended consolidated complaint. The Company’s motion to dismiss was filed on June 5, 2023, and plaintiffs filed a brief in opposition on July 5, 2023. The Company’s reply in support of the motion to dismiss was filed on July 21, 2023.</w:t>
      </w:r>
    </w:p>
    <w:p>
      <w:pPr>
        <w:spacing w:after="0" w:line="136" w:lineRule="exact"/>
        <w:rPr>
          <w:sz w:val="20"/>
          <w:szCs w:val="20"/>
          <w:color w:val="auto"/>
        </w:rPr>
      </w:pPr>
    </w:p>
    <w:p>
      <w:pPr>
        <w:ind w:firstLine="318"/>
        <w:spacing w:after="0" w:line="291" w:lineRule="auto"/>
        <w:rPr>
          <w:sz w:val="20"/>
          <w:szCs w:val="20"/>
          <w:color w:val="auto"/>
        </w:rPr>
      </w:pPr>
      <w:r>
        <w:rPr>
          <w:rFonts w:ascii="Arial" w:cs="Arial" w:eastAsia="Arial" w:hAnsi="Arial"/>
          <w:sz w:val="17"/>
          <w:szCs w:val="17"/>
          <w:color w:val="auto"/>
        </w:rPr>
        <w:t>On February 22, 2024, the MDL court issued an order granting in part and denying in part the Company’s motion to dismiss. On March 5, 2024, the parties filed a joint status report noting they had agreed to engage in mediation. On April 24, 2024, the parties engaged in mediation before the Honorable Wayne R. Andersen (Ret.) but did not reach agreement. Negotiations continued and the parties entered into a confidential binding settlement term sheet on May 6, 2024. On July 8, 2024, the parties entered into a class action settlement agreement, pursuant to which the Company has agreed to contribute $7.5 million to a settlement fund in full satisfaction of all settlement costs and attorneys’ fees.</w:t>
      </w:r>
    </w:p>
    <w:p>
      <w:pPr>
        <w:spacing w:after="0" w:line="113" w:lineRule="exact"/>
        <w:rPr>
          <w:sz w:val="20"/>
          <w:szCs w:val="20"/>
          <w:color w:val="auto"/>
        </w:rPr>
      </w:pPr>
    </w:p>
    <w:p>
      <w:pPr>
        <w:ind w:right="220" w:firstLine="318"/>
        <w:spacing w:after="0" w:line="305" w:lineRule="auto"/>
        <w:rPr>
          <w:sz w:val="20"/>
          <w:szCs w:val="20"/>
          <w:color w:val="auto"/>
        </w:rPr>
      </w:pPr>
      <w:r>
        <w:rPr>
          <w:rFonts w:ascii="Arial" w:cs="Arial" w:eastAsia="Arial" w:hAnsi="Arial"/>
          <w:sz w:val="18"/>
          <w:szCs w:val="18"/>
          <w:color w:val="auto"/>
        </w:rPr>
        <w:t>On August 5, 2024, the parties filed a motion for preliminary approval of the settlement agreement. The MDL court granted the motion for preliminary approval on August 14, 2024.</w:t>
      </w:r>
    </w:p>
    <w:p>
      <w:pPr>
        <w:spacing w:after="0" w:line="97" w:lineRule="exact"/>
        <w:rPr>
          <w:sz w:val="20"/>
          <w:szCs w:val="20"/>
          <w:color w:val="auto"/>
        </w:rPr>
      </w:pPr>
    </w:p>
    <w:p>
      <w:pPr>
        <w:ind w:right="120" w:firstLine="318"/>
        <w:spacing w:after="0" w:line="272" w:lineRule="auto"/>
        <w:rPr>
          <w:sz w:val="20"/>
          <w:szCs w:val="20"/>
          <w:color w:val="auto"/>
        </w:rPr>
      </w:pPr>
      <w:r>
        <w:rPr>
          <w:rFonts w:ascii="Arial" w:cs="Arial" w:eastAsia="Arial" w:hAnsi="Arial"/>
          <w:sz w:val="18"/>
          <w:szCs w:val="18"/>
          <w:color w:val="auto"/>
        </w:rPr>
        <w:t>On January 23, 2025, upon reviewing submissions from the court-appointed settlement administrator and the plaintiffs acting on behalf of the class, and after holding a final settlement hearing, the court issued a minute order approving the class action settlement and indicating a final approval order will be entered. On March 24, 2025, the court issued the final approval order. Final approval resolves the claims of all persons (individuals and/or entities) who purchased any Beyond Meat product (as defined in the settlement agreement) for household use and not for resale or distribution, from May 31, 2018 to August 14, 2024.</w:t>
      </w:r>
    </w:p>
    <w:p>
      <w:pPr>
        <w:spacing w:after="0" w:line="139" w:lineRule="exact"/>
        <w:rPr>
          <w:sz w:val="20"/>
          <w:szCs w:val="20"/>
          <w:color w:val="auto"/>
        </w:rPr>
      </w:pPr>
    </w:p>
    <w:p>
      <w:pPr>
        <w:ind w:right="140" w:firstLine="318"/>
        <w:spacing w:after="0" w:line="272" w:lineRule="auto"/>
        <w:rPr>
          <w:sz w:val="20"/>
          <w:szCs w:val="20"/>
          <w:color w:val="auto"/>
        </w:rPr>
      </w:pPr>
      <w:r>
        <w:rPr>
          <w:rFonts w:ascii="Arial" w:cs="Arial" w:eastAsia="Arial" w:hAnsi="Arial"/>
          <w:sz w:val="18"/>
          <w:szCs w:val="18"/>
          <w:color w:val="auto"/>
        </w:rPr>
        <w:t>The Company paid $250,000 to the settlement fund in August 2024. The final effective date of the settlement agreement was on April 24, 2025. The Company recorded $7.5 million in SG&amp;A expenses in its condensed consolidated statement of operations and paid $250,000 in the year ended December 31, 2024, and included $7.25 million in Accrued litigation settlement costs in the Company’s condensed consolidated balance sheets as of March 29, 2025 and December 31, 2024. The Company’s final payment of $7.25 million is to be paid into escrow by May 14, 2025.</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active lawsuits, each of which was consolidated and transferred to the MDL and is subject to the class action settlement agreement,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are:</w:t>
      </w:r>
    </w:p>
    <w:p>
      <w:pPr>
        <w:spacing w:after="0" w:line="171" w:lineRule="exact"/>
        <w:rPr>
          <w:sz w:val="20"/>
          <w:szCs w:val="20"/>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Roberts v. Beyond Meat, Inc., No. 1:22-cv-02861 (N.D. Ill.) (filed May 31, 2022)</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Cascio v. Beyond Meat, Inc., No. 1:22-cv-04018 (E.D.N.Y.) (filed July 8, 2022)</w:t>
      </w:r>
    </w:p>
    <w:p>
      <w:pPr>
        <w:spacing w:after="0" w:line="71"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Miller v. Beyond Meat, Inc., No. 1:22-cv-06336 (S.D.N.Y.) (filed July 26, 2022)</w:t>
      </w:r>
    </w:p>
    <w:p>
      <w:pPr>
        <w:spacing w:after="0" w:line="71"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Garcia v. Beyond Meat, Inc., No. 4:22-cv-00297 (S.D. Iowa.) (filed September 9, 2022)</w:t>
      </w:r>
    </w:p>
    <w:p>
      <w:pPr>
        <w:spacing w:after="0" w:line="58" w:lineRule="exact"/>
        <w:rPr>
          <w:rFonts w:ascii="Arial" w:cs="Arial" w:eastAsia="Arial" w:hAnsi="Arial"/>
          <w:sz w:val="18"/>
          <w:szCs w:val="18"/>
          <w:color w:val="auto"/>
        </w:rPr>
      </w:pPr>
    </w:p>
    <w:p>
      <w:pPr>
        <w:ind w:left="640" w:hanging="316"/>
        <w:spacing w:after="0"/>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Borovoy v. Beyond Meat, Inc., No. 1:22-cv-06302 (N.D. Ill.) (filed September 30, 2022 in DuPage Co., Ill.; removed on Nov. 10, 2022)</w:t>
      </w:r>
    </w:p>
    <w:p>
      <w:pPr>
        <w:spacing w:after="0" w:line="82" w:lineRule="exact"/>
        <w:rPr>
          <w:rFonts w:ascii="Arial" w:cs="Arial" w:eastAsia="Arial" w:hAnsi="Arial"/>
          <w:sz w:val="17"/>
          <w:szCs w:val="17"/>
          <w:color w:val="auto"/>
        </w:rPr>
      </w:pPr>
    </w:p>
    <w:p>
      <w:pPr>
        <w:ind w:left="640" w:hanging="31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Zakinov v Beyond Meat, Inc., No. 4:23-cv-00144 (S.D. Tex.) (filed January 13, 2023)</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Interbev</w:t>
      </w:r>
    </w:p>
    <w:p>
      <w:pPr>
        <w:spacing w:after="0" w:line="191" w:lineRule="exact"/>
        <w:rPr>
          <w:sz w:val="20"/>
          <w:szCs w:val="20"/>
          <w:color w:val="auto"/>
        </w:rPr>
      </w:pPr>
    </w:p>
    <w:p>
      <w:pPr>
        <w:ind w:right="300" w:firstLine="318"/>
        <w:spacing w:after="0" w:line="296" w:lineRule="auto"/>
        <w:rPr>
          <w:sz w:val="20"/>
          <w:szCs w:val="20"/>
          <w:color w:val="auto"/>
        </w:rPr>
      </w:pPr>
      <w:r>
        <w:rPr>
          <w:rFonts w:ascii="Arial" w:cs="Arial" w:eastAsia="Arial" w:hAnsi="Arial"/>
          <w:sz w:val="17"/>
          <w:szCs w:val="17"/>
          <w:color w:val="auto"/>
        </w:rPr>
        <w:t>In October 2020, Interbev, a French trade association for the livestock and meat industry sent a cease-and-desist letter to one of the Company’s contract manufacturers alleging that the use of “meat” and meat-related terms is misleading the French consumer. Despite the Company’s best efforts to reach a settlement, including a formal settlement proposal from the Company in March 2021, the association no longer responded. Instead, on March 13, 2022, the Company was served a summons by Interbev to appear before the Commercial Court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412"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Paris (the “Economic Activities Court”). The summons alleges that the Company misleads the French consumer with references to e.g. “plant based meat,” “plant based burger” and related descriptive names, and alleges that the Company is denigrating meat and meat products. The relief sought by Interbev includes (i) changing the presentation of Beyond Meat products to avoid any potential confusion with meat products, (ii) publication of the judgment of the court in the media, and (iii) damages of EUR 200,000. On October 12, 2022, the Company submitted its brief in defense.</w:t>
      </w:r>
    </w:p>
    <w:p>
      <w:pPr>
        <w:spacing w:after="0" w:line="139" w:lineRule="exact"/>
        <w:rPr>
          <w:sz w:val="20"/>
          <w:szCs w:val="20"/>
          <w:color w:val="auto"/>
        </w:rPr>
      </w:pPr>
    </w:p>
    <w:p>
      <w:pPr>
        <w:ind w:right="40" w:firstLine="318"/>
        <w:spacing w:after="0" w:line="283" w:lineRule="auto"/>
        <w:rPr>
          <w:sz w:val="20"/>
          <w:szCs w:val="20"/>
          <w:color w:val="auto"/>
        </w:rPr>
      </w:pPr>
      <w:r>
        <w:rPr>
          <w:rFonts w:ascii="Arial" w:cs="Arial" w:eastAsia="Arial" w:hAnsi="Arial"/>
          <w:sz w:val="17"/>
          <w:szCs w:val="17"/>
          <w:color w:val="auto"/>
        </w:rPr>
        <w:t>On February 1, 2023, the French trade association submitted updated pleadings to the Economic Activities Court. The association maintains its position that the Company is misleading the consumer, and additionally alleges that the Company is engaging in unlawful comparative advertising of its products with respect to meat and meat products. The relief sought is unchanged. On May 24, 2023, the Company submitted its defense, strongly disputing these claims. In September 2023, the Company submitted a request to stay proceedings in the commercial litigation proceedings, pending the decision of the CJEU in the administrative litigation case against the Contested Decree. On September 27, 2023, Interbev obtained an extension to submit a response to the Company. On October 25, 2023, Interbev submitted its response opposing the Company’s request to stay proceedings and asking that the written procedure of the case be closed. The Company responded on November 22, 2023, and Interbev submitted an additional reply on January 16, 2024. On March 20, 2024, the Economic Activities Court held a hearing on the decision to stay proceedings, and on April 25, 2024, the Economic Activities Court decided that the case should proceed. To that end, the Economic Activities Court set the date for an oral hearing on September 4, 2024, which was subsequently postponed to December 18, 2024, following a joint request from the parties. Interbev submitted its last written brief on September 30, 2024. The Company filed its last written brief on October 28, 2024. On November 26, 2024, Interbev filed an amended brief, including a reference to the CJEU judgment of October 4, 2024, in which the CJEU ruled that "meat" is defined under EU law as "edible parts of certain animals," meaning that the Company could not use the term, even in its marketing materials. The Company filed a subsequent amended brief on December 3, 2024. On December 17, 2024, Interbev submitted a copy of the EUIPO Board of Appeal’s decision partially rejecting the Company’s appeal against the first instance decision taken by the EUIPO on May 7, 2024 by which the latter invalidated the Caped Steer logo/mark. The hearing on the merits was held on December 18, 2024. Initially, a first-instance decision was expected on February 17, 2025, but it was postponed to February 20, 2025, and then again to February 27, 2025. On February 27, 2025, the Economic Activities Court rendered its first-instance judgment (the “Judgment”). In the Judgment, the Court ruled that (i) the Company may continue to use meaty names (sausage, burger, etc.) for its products, but that it must immediately cease using the term “meat” to describe them (the Court relied on the CJEU ’s decision of October 4, 2024 on this point). The Court considers that this can be done immediately as the term “meat” is only used on the Company’s website and social media; (ii) the Company must remove the caped steer logo from its packaging and communications within 18 months of service of the Judgment (the Court relied on the EUIPO Board of Appeal’s decision of December 17, 2024 on this point); (iii) the Court considered that from the time of its penetration of the French market until 2021, Beyond referred French consumers to its US social media. These media contained health claims that are illegal in Europe and thus constituted a misleading practice. However, the Court noted that such activity had ceased; and</w:t>
      </w:r>
    </w:p>
    <w:p>
      <w:pPr>
        <w:spacing w:after="0" w:line="212" w:lineRule="exact"/>
        <w:rPr>
          <w:sz w:val="20"/>
          <w:szCs w:val="20"/>
          <w:color w:val="auto"/>
        </w:rPr>
      </w:pPr>
    </w:p>
    <w:p>
      <w:pPr>
        <w:ind w:right="20" w:firstLine="6"/>
        <w:spacing w:after="0" w:line="273" w:lineRule="auto"/>
        <w:tabs>
          <w:tab w:leader="none" w:pos="29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Court found that the Company engages in illegal comparative advertising by comparing its products to meat in a subjective matter (e.g., better taste, better for the environment, healthier than animal meat) and ordered it to immediately cease all communications that equate its products to meat and/or include a subjective comparison. The decisions under points (i) and (iv) above were made under a daily penalty of EUR 1,000 starting to count one month after the service of the Judgment on the Company.</w:t>
      </w:r>
    </w:p>
    <w:p>
      <w:pPr>
        <w:spacing w:after="0" w:line="125" w:lineRule="exact"/>
        <w:rPr>
          <w:sz w:val="20"/>
          <w:szCs w:val="20"/>
          <w:color w:val="auto"/>
        </w:rPr>
      </w:pPr>
    </w:p>
    <w:p>
      <w:pPr>
        <w:ind w:right="80" w:firstLine="318"/>
        <w:spacing w:after="0" w:line="275" w:lineRule="auto"/>
        <w:rPr>
          <w:sz w:val="20"/>
          <w:szCs w:val="20"/>
          <w:color w:val="auto"/>
        </w:rPr>
      </w:pPr>
      <w:r>
        <w:rPr>
          <w:rFonts w:ascii="Arial" w:cs="Arial" w:eastAsia="Arial" w:hAnsi="Arial"/>
          <w:sz w:val="18"/>
          <w:szCs w:val="18"/>
          <w:color w:val="auto"/>
        </w:rPr>
        <w:t>However, the Court also dismissed several of Interbev’s other arguments. In complete contradiction to its rulings above, the Court found that the physical and nutritional characteristics of the Company’s products, their packaging, labeling, the indication of source of protein or reach in protein, and their general presentation do not create any confusion between the Company’s products and meat or meat products. Moreover, the presentation of the Company’s products in the meat aisle of supermarkets was irrelevant for the question of whether or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there was confusion between the products and meat. This means that the Company does not need to change the brand name—Beyond Meat— nor does the Company need to make any changes to the meaty names of the Company’s products. The Company does not need to make any changes to the physical and nutritional characteristics of the Company’ products, or any changes to the labels or lists of ingredients of the Company’s products. The Company will continue to present its products as an alternative source of protein.</w:t>
      </w:r>
    </w:p>
    <w:p>
      <w:pPr>
        <w:spacing w:after="0" w:line="125" w:lineRule="exact"/>
        <w:rPr>
          <w:sz w:val="20"/>
          <w:szCs w:val="20"/>
          <w:color w:val="auto"/>
        </w:rPr>
      </w:pPr>
    </w:p>
    <w:p>
      <w:pPr>
        <w:ind w:firstLine="318"/>
        <w:spacing w:after="0" w:line="276" w:lineRule="auto"/>
        <w:rPr>
          <w:sz w:val="20"/>
          <w:szCs w:val="20"/>
          <w:color w:val="auto"/>
        </w:rPr>
      </w:pPr>
      <w:r>
        <w:rPr>
          <w:rFonts w:ascii="Arial" w:cs="Arial" w:eastAsia="Arial" w:hAnsi="Arial"/>
          <w:sz w:val="18"/>
          <w:szCs w:val="18"/>
          <w:color w:val="auto"/>
        </w:rPr>
        <w:t>In terms of costs and damages, the Court ordered the Company, as well as The New Plant, to pay EUR 1 for financial damage, EUR 50,000 for moral damage and EUR 15,000 for legal costs to Interbev. The publication of the Judgment in three specialized reviews/magazines has also been ordered, unless there is an appeal. The Judgment is subject to appeal before the Paris Court of Appeals within a period of three months starting from the service of the Judgment. The Company is examining the Judgment with a view to a recourse against it as well as taking steps to comply with the Judgment as necessary.</w:t>
      </w:r>
    </w:p>
    <w:p>
      <w:pPr>
        <w:spacing w:after="0" w:line="122" w:lineRule="exact"/>
        <w:rPr>
          <w:sz w:val="20"/>
          <w:szCs w:val="20"/>
          <w:color w:val="auto"/>
        </w:rPr>
      </w:pPr>
    </w:p>
    <w:p>
      <w:pPr>
        <w:ind w:right="40" w:firstLine="318"/>
        <w:spacing w:after="0" w:line="268" w:lineRule="auto"/>
        <w:rPr>
          <w:sz w:val="20"/>
          <w:szCs w:val="20"/>
          <w:color w:val="auto"/>
        </w:rPr>
      </w:pPr>
      <w:r>
        <w:rPr>
          <w:rFonts w:ascii="Arial" w:cs="Arial" w:eastAsia="Arial" w:hAnsi="Arial"/>
          <w:sz w:val="18"/>
          <w:szCs w:val="18"/>
          <w:color w:val="auto"/>
        </w:rPr>
        <w:t>On April 21, 2023, Interbev filed two actions before the European Union Intellectual Property Office (the “EUIPO”) to cancel the Company’s EU trademark registration for the Caped Steer logo. Interbev sought cancellation of the trademark, alleging that the trademark was invalid because it allegedly misleads the public about the nature and characteristics of the products offered under the mark. Interbev also sought cancellation on the basis of allegedly misleading use. On July 7, 2023, the Company submitted its responses to these actions, strongly disputing these claims and defending its use and registration of the Caped Steer logo. Interbev’s response regarding misleading use of the mark was filed on September 14, 2023, and the Company responded on November 17, 2023. Interbev’s response regarding the invalidity of the mark was filed and served on the Company in November 2023, and the Company responded on January 12, 2024. On May 7, 2024, the Company was served with the EUIPO’s first instance decision regarding the invalidity of the mark. The EUIPO held the mark to be invalid insofar as the registration covered specifically meat or dairy substitute goods. The EUIPO held the trademark to be valid insofar as the registration is for other plant, cereal, vegetable, fruit or nut-based goods. The Company filed a formal appeal of the first instance decision on July 5, 2024, followed by its substantive grounds of appeal on September 9, 2024. Interbev filed a response on November 11, 2024. On December 17, 2024, the Company was served with the EUIPO Board of Appeal decision. The Board of Appeal upheld the appeal on one point, allowing the goods chili con carne to also remain on the register and confirmed the first instance decision on all other points. The Company decided against a further appeal, i.e. against bringing an action to the EU General Court in the matter.</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Decree prohibiting meat names</w:t>
      </w:r>
    </w:p>
    <w:p>
      <w:pPr>
        <w:spacing w:after="0" w:line="177" w:lineRule="exact"/>
        <w:rPr>
          <w:sz w:val="20"/>
          <w:szCs w:val="20"/>
          <w:color w:val="auto"/>
        </w:rPr>
      </w:pPr>
    </w:p>
    <w:p>
      <w:pPr>
        <w:ind w:firstLine="318"/>
        <w:spacing w:after="0" w:line="272" w:lineRule="auto"/>
        <w:rPr>
          <w:sz w:val="20"/>
          <w:szCs w:val="20"/>
          <w:color w:val="auto"/>
        </w:rPr>
      </w:pPr>
      <w:r>
        <w:rPr>
          <w:rFonts w:ascii="Arial" w:cs="Arial" w:eastAsia="Arial" w:hAnsi="Arial"/>
          <w:sz w:val="18"/>
          <w:szCs w:val="18"/>
          <w:color w:val="auto"/>
        </w:rPr>
        <w:t>On June 29, 2022, France adopted a Decree implementing a prohibition of June 2020 on the use of denominations used for foodstuffs of animal origin to describe, market or promote foodstuffs containing plant proteins (the “Contested Decree”). The Contested Decree prohibited the use of meat names (such as “sausage” or “meatballs”) for plant-based products, from its date of entry into force on October 1, 2022. On July 27, 2022, the French High Administrative Court issued a temporary and partial suspension of the execution of the Contested Decree, in response to a motion filed by a French trade association.</w:t>
      </w:r>
    </w:p>
    <w:p>
      <w:pPr>
        <w:spacing w:after="0" w:line="139" w:lineRule="exact"/>
        <w:rPr>
          <w:sz w:val="20"/>
          <w:szCs w:val="20"/>
          <w:color w:val="auto"/>
        </w:rPr>
      </w:pPr>
    </w:p>
    <w:p>
      <w:pPr>
        <w:ind w:right="20" w:firstLine="318"/>
        <w:spacing w:after="0" w:line="270" w:lineRule="auto"/>
        <w:rPr>
          <w:sz w:val="20"/>
          <w:szCs w:val="20"/>
          <w:color w:val="auto"/>
        </w:rPr>
      </w:pPr>
      <w:r>
        <w:rPr>
          <w:rFonts w:ascii="Arial" w:cs="Arial" w:eastAsia="Arial" w:hAnsi="Arial"/>
          <w:sz w:val="18"/>
          <w:szCs w:val="18"/>
          <w:color w:val="auto"/>
        </w:rPr>
        <w:t>On October 21, 2022, the Company filed a request for annulment of the Contested Decree before the French High Administrative Court. On November 16, 2022, the Company filed a voluntary intervention in the French trade association’s own application for annulment, to ensure that both the Company’s voice and strong EU law arguments were heard. On January 23, 2023, the French Ministry for the Economy (the “French Ministry”) responded to the Company’s request for annulment and intervention. The French Ministry’s response made clear that it would enforce the Contested Decree as a blanket ban on the use of all “meaty” names for plant-based products in France. On April 20, 2023, a number of plant-based companies voluntarily filed interventions in support of the Company’s case.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On July 12, 2023, the French High Administrative Court issued an intermediate judgment in the proceedings against the French meaty</w:t>
      </w:r>
    </w:p>
    <w:p>
      <w:pPr>
        <w:spacing w:after="0" w:line="25" w:lineRule="exact"/>
        <w:rPr>
          <w:sz w:val="20"/>
          <w:szCs w:val="20"/>
          <w:color w:val="auto"/>
        </w:rPr>
      </w:pPr>
    </w:p>
    <w:p>
      <w:pPr>
        <w:ind w:right="120"/>
        <w:spacing w:after="0" w:line="293" w:lineRule="auto"/>
        <w:rPr>
          <w:sz w:val="20"/>
          <w:szCs w:val="20"/>
          <w:color w:val="auto"/>
        </w:rPr>
      </w:pPr>
      <w:r>
        <w:rPr>
          <w:rFonts w:ascii="Arial" w:cs="Arial" w:eastAsia="Arial" w:hAnsi="Arial"/>
          <w:sz w:val="17"/>
          <w:szCs w:val="17"/>
          <w:color w:val="auto"/>
        </w:rPr>
        <w:t>names ban. The court held that there were a number of difficulties interpreting EU law, which will be decisive for the resolution of the case. For that reason, the French High Administrative Court referred the case to the CJEU, which is the highest court in the EU and can issue a legally binding interpretation of EU law valid in all 27 EU member states, including France. The French High Administrative Court is bound to follow judgments of the CJEU. The procedure before the CJEU started on August 22, 2023, and the Company filed its submission on October 31, 2023. On January 15, 2024, the CJEU closed the written procedure. The period to request an oral hearing closed on February 5, 2024.</w:t>
      </w:r>
    </w:p>
    <w:p>
      <w:pPr>
        <w:spacing w:after="0" w:line="112" w:lineRule="exact"/>
        <w:rPr>
          <w:sz w:val="20"/>
          <w:szCs w:val="20"/>
          <w:color w:val="auto"/>
        </w:rPr>
      </w:pPr>
    </w:p>
    <w:p>
      <w:pPr>
        <w:ind w:right="40" w:firstLine="318"/>
        <w:spacing w:after="0" w:line="287" w:lineRule="auto"/>
        <w:rPr>
          <w:sz w:val="20"/>
          <w:szCs w:val="20"/>
          <w:color w:val="auto"/>
        </w:rPr>
      </w:pPr>
      <w:r>
        <w:rPr>
          <w:rFonts w:ascii="Arial" w:cs="Arial" w:eastAsia="Arial" w:hAnsi="Arial"/>
          <w:sz w:val="17"/>
          <w:szCs w:val="17"/>
          <w:color w:val="auto"/>
        </w:rPr>
        <w:t>In parallel to the litigation before the CJEU against the Contested Decree, on August 23, 2023, France published a proposal for a new decree replacing the Contested Decree (the “New Decree”). The New Decree has removed some of the Contested Decree’s most open-ended language, but essentially maintains the prohibition on meaty names for plant-based proteins. The New Decree was subject to administrative review procedure by the European Commission (the EU’s executive body) and the EU member states other than France. The six-months standstill period under that procedure ended on February 23, 2024. The Company supported plant-based protein trade associations against the New Decree. On February 26, 2024, the New Decree was adopted. However, on April 10, 2024, the French High Administrative Court decided once again to postpone the applicability of the New Decree. The interim relief judge noted that there were serious doubts as to whether such national measures could be adopted based on EU law, which had already prompted the ongoing CJEU litigation.</w:t>
      </w:r>
    </w:p>
    <w:p>
      <w:pPr>
        <w:spacing w:after="0" w:line="131" w:lineRule="exact"/>
        <w:rPr>
          <w:sz w:val="20"/>
          <w:szCs w:val="20"/>
          <w:color w:val="auto"/>
        </w:rPr>
      </w:pPr>
    </w:p>
    <w:p>
      <w:pPr>
        <w:ind w:right="200" w:firstLine="318"/>
        <w:spacing w:after="0" w:line="272" w:lineRule="auto"/>
        <w:rPr>
          <w:sz w:val="20"/>
          <w:szCs w:val="20"/>
          <w:color w:val="auto"/>
        </w:rPr>
      </w:pPr>
      <w:r>
        <w:rPr>
          <w:rFonts w:ascii="Arial" w:cs="Arial" w:eastAsia="Arial" w:hAnsi="Arial"/>
          <w:sz w:val="18"/>
          <w:szCs w:val="18"/>
          <w:color w:val="auto"/>
        </w:rPr>
        <w:t>In this context, on March 1, 2024, the CJEU requested the French High Administrative Court to provide its view on the impact of the adoption of the New Decree on the litigation against the Contested Decree, and whether it should be declared moot or it should be allowed to proceed. On March 14, 2024, the French High Administrative Court responded to the CJEU's request for information asking it to rule in the current proceedings. On April 15, 2024, the CJEU decided that the litigation against the Contested Decree would proceed, and that an oral hearing was not necessary.</w:t>
      </w:r>
    </w:p>
    <w:p>
      <w:pPr>
        <w:spacing w:after="0" w:line="126" w:lineRule="exact"/>
        <w:rPr>
          <w:sz w:val="20"/>
          <w:szCs w:val="20"/>
          <w:color w:val="auto"/>
        </w:rPr>
      </w:pPr>
    </w:p>
    <w:p>
      <w:pPr>
        <w:ind w:firstLine="318"/>
        <w:spacing w:after="0" w:line="271" w:lineRule="auto"/>
        <w:rPr>
          <w:sz w:val="20"/>
          <w:szCs w:val="20"/>
          <w:color w:val="auto"/>
        </w:rPr>
      </w:pPr>
      <w:r>
        <w:rPr>
          <w:rFonts w:ascii="Arial" w:cs="Arial" w:eastAsia="Arial" w:hAnsi="Arial"/>
          <w:sz w:val="18"/>
          <w:szCs w:val="18"/>
          <w:color w:val="auto"/>
        </w:rPr>
        <w:t>On October 4, 2024, the CJEU rendered its judgment. The judgment of the CJEU determined that the manner in which the Contested Decree seeks to ban meat names for plant-based foods is unlawful under EU law. It sets a precedent on the extent to which EU member states may regulate the naming of plant-based foods at the national level in the absence of harmonization at the EU level. In its judgment, the CJEU also ruled that “meat” is defined under EU law as “edible parts of certain animals.” The Company is taking the view that the court’s interpretation only affects the use of the term in the sales denomination on the label and not the use of the term in marketing and advertising materials. Following the CJEU’s judgment, the case was referred to the French High Administrative Court, which, on January 28, 2025, annulled the Contested Decree and the New Decree. Beyond Meat will be reimbursed by the French State for legal costs incurred in challenging the Contested Decree, for a total of 3,000 euros.</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Arbitration with Former Co-Manufacturer</w:t>
      </w:r>
    </w:p>
    <w:p>
      <w:pPr>
        <w:spacing w:after="0" w:line="177" w:lineRule="exact"/>
        <w:rPr>
          <w:sz w:val="20"/>
          <w:szCs w:val="20"/>
          <w:color w:val="auto"/>
        </w:rPr>
      </w:pPr>
    </w:p>
    <w:p>
      <w:pPr>
        <w:ind w:right="80" w:firstLine="318"/>
        <w:spacing w:after="0" w:line="269" w:lineRule="auto"/>
        <w:rPr>
          <w:sz w:val="20"/>
          <w:szCs w:val="20"/>
          <w:color w:val="auto"/>
        </w:rPr>
      </w:pPr>
      <w:r>
        <w:rPr>
          <w:rFonts w:ascii="Arial" w:cs="Arial" w:eastAsia="Arial" w:hAnsi="Arial"/>
          <w:sz w:val="18"/>
          <w:szCs w:val="18"/>
          <w:color w:val="auto"/>
        </w:rPr>
        <w:t>In March 2024, a former co-manufacturer (“Manufacturer”) brought an action against the Company in a confidential arbitration proceeding. The Company had entered into an agreement with the Manufacturer, under which the Manufacturer was responsible for producing products on behalf of the Company. The Company terminated the agreement in November 2023 due to the Manufacturer’s failure to produce food in compliance with applicable laws, as required by the agreement. The Manufacturer alleges that the Company terminated the agreement without a contractual basis to do so and that it is owed past and future payments under the agreement. The Manufacturer claims total damages of at least approximately $73.0 million. The Company intends to vigorously defend against these claims. In October 2024, the Company filed amended counterclaims against the Manufacturer for breach of contract, breach of the duty of good faith and fair dealing, fraudulent inducement, false promise, concealment, and intentional misrepresentation, and negligent misrepresentation.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412"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00"/>
        <w:spacing w:after="0" w:line="290" w:lineRule="auto"/>
        <w:rPr>
          <w:sz w:val="20"/>
          <w:szCs w:val="20"/>
          <w:color w:val="auto"/>
        </w:rPr>
      </w:pPr>
      <w:r>
        <w:rPr>
          <w:rFonts w:ascii="Arial" w:cs="Arial" w:eastAsia="Arial" w:hAnsi="Arial"/>
          <w:sz w:val="18"/>
          <w:szCs w:val="18"/>
          <w:color w:val="auto"/>
        </w:rPr>
        <w:t>The Company intends to vigorously prosecute the claims asserted against the Manufacturer. The arbitration commenced in the first quarter of 2025 and is ongoing.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66"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In the three months ended March 29, 2025 and March 30, 2024, the Company recorded $0 and $2,000 in income tax expense, respectively, in its condensed consolidated statements of operations.</w:t>
      </w:r>
    </w:p>
    <w:p>
      <w:pPr>
        <w:spacing w:after="0" w:line="124" w:lineRule="exact"/>
        <w:rPr>
          <w:sz w:val="20"/>
          <w:szCs w:val="20"/>
          <w:color w:val="auto"/>
        </w:rPr>
      </w:pPr>
    </w:p>
    <w:p>
      <w:pPr>
        <w:ind w:right="40" w:firstLine="318"/>
        <w:spacing w:after="0" w:line="260" w:lineRule="auto"/>
        <w:rPr>
          <w:sz w:val="20"/>
          <w:szCs w:val="20"/>
          <w:color w:val="auto"/>
        </w:rPr>
      </w:pPr>
      <w:r>
        <w:rPr>
          <w:rFonts w:ascii="Arial" w:cs="Arial" w:eastAsia="Arial" w:hAnsi="Arial"/>
          <w:sz w:val="18"/>
          <w:szCs w:val="18"/>
          <w:color w:val="auto"/>
        </w:rPr>
        <w:t>The Company has evaluated the available evidence supporting the realization of its deferred tax assets, including the amount and timing of future taxable income, and has determined that it is more likely than not that its net deferred tax assets will not be realized. Due to uncertainties surrounding the realization of the deferred tax assets, the Company maintains a full valuation allowance against substantially all deferred tax assets. If the Company determines that it will be able to realize some portion or all of its deferred tax assets, an adjustment to its valuation allowance on its deferred tax assets will be made and the adjustment would have the effect of increasing net income in the period such determination is made.</w:t>
      </w:r>
    </w:p>
    <w:p>
      <w:pPr>
        <w:spacing w:after="0" w:line="139" w:lineRule="exact"/>
        <w:rPr>
          <w:sz w:val="20"/>
          <w:szCs w:val="20"/>
          <w:color w:val="auto"/>
        </w:rPr>
      </w:pPr>
    </w:p>
    <w:p>
      <w:pPr>
        <w:ind w:right="40" w:firstLine="318"/>
        <w:spacing w:after="0" w:line="267" w:lineRule="auto"/>
        <w:rPr>
          <w:sz w:val="20"/>
          <w:szCs w:val="20"/>
          <w:color w:val="auto"/>
        </w:rPr>
      </w:pPr>
      <w:r>
        <w:rPr>
          <w:rFonts w:ascii="Arial" w:cs="Arial" w:eastAsia="Arial" w:hAnsi="Arial"/>
          <w:sz w:val="18"/>
          <w:szCs w:val="18"/>
          <w:color w:val="auto"/>
        </w:rPr>
        <w:t>As of March 29, 2025, the Company did not have any accrued interest or penalties related to uncertain tax positions. The Company’s policy is to recognize interest and penalties related to uncertain tax positions in income tax expense. The Company is subject to U.S. federal tax authority and U.S. state tax authority examinations for all years with respect to net operating loss and credit carryforwards.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Net Loss Per Share Available to Common Stockholders (“EPS”)</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calculates basic and diluted net loss per share available to common stockholders in conformity with the provisions of ASC</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260 “Earnings Per Share.” Pursuant to ASU 2020-06, the Company applies the if-converted method to its Notes. See </w:t>
      </w:r>
      <w:r>
        <w:rPr>
          <w:rFonts w:ascii="Arial" w:cs="Arial" w:eastAsia="Arial" w:hAnsi="Arial"/>
          <w:sz w:val="18"/>
          <w:szCs w:val="18"/>
          <w:u w:val="single" w:color="auto"/>
          <w:color w:val="0000FF"/>
        </w:rPr>
        <w:t>Note 2</w:t>
      </w:r>
      <w:r>
        <w:rPr>
          <w:rFonts w:ascii="Arial" w:cs="Arial" w:eastAsia="Arial" w:hAnsi="Arial"/>
          <w:sz w:val="18"/>
          <w:szCs w:val="18"/>
          <w:color w:val="auto"/>
        </w:rPr>
        <w: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40" w:type="dxa"/>
            <w:vAlign w:val="bottom"/>
            <w:gridSpan w:val="4"/>
          </w:tcPr>
          <w:p>
            <w:pPr>
              <w:jc w:val="right"/>
              <w:ind w:right="733"/>
              <w:spacing w:after="0"/>
              <w:rPr>
                <w:sz w:val="20"/>
                <w:szCs w:val="20"/>
                <w:color w:val="auto"/>
              </w:rPr>
            </w:pPr>
            <w:r>
              <w:rPr>
                <w:rFonts w:ascii="Arial" w:cs="Arial" w:eastAsia="Arial" w:hAnsi="Arial"/>
                <w:sz w:val="16"/>
                <w:szCs w:val="16"/>
                <w:b w:val="1"/>
                <w:bCs w:val="1"/>
                <w:color w:val="auto"/>
              </w:rPr>
              <w:t>Three Months Ended</w:t>
            </w:r>
          </w:p>
        </w:tc>
      </w:tr>
      <w:tr>
        <w:trPr>
          <w:trHeight w:val="35"/>
        </w:trPr>
        <w:tc>
          <w:tcPr>
            <w:tcW w:w="20" w:type="dxa"/>
            <w:vAlign w:val="bottom"/>
          </w:tcPr>
          <w:p>
            <w:pPr>
              <w:spacing w:after="0"/>
              <w:rPr>
                <w:sz w:val="3"/>
                <w:szCs w:val="3"/>
                <w:color w:val="auto"/>
              </w:rPr>
            </w:pPr>
          </w:p>
        </w:tc>
        <w:tc>
          <w:tcPr>
            <w:tcW w:w="3960" w:type="dxa"/>
            <w:vAlign w:val="bottom"/>
          </w:tcPr>
          <w:p>
            <w:pPr>
              <w:spacing w:after="0"/>
              <w:rPr>
                <w:sz w:val="3"/>
                <w:szCs w:val="3"/>
                <w:color w:val="auto"/>
              </w:rPr>
            </w:pPr>
          </w:p>
        </w:tc>
        <w:tc>
          <w:tcPr>
            <w:tcW w:w="39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311"/>
        </w:trPr>
        <w:tc>
          <w:tcPr>
            <w:tcW w:w="20" w:type="dxa"/>
            <w:vAlign w:val="bottom"/>
          </w:tcPr>
          <w:p>
            <w:pPr>
              <w:spacing w:after="0"/>
              <w:rPr>
                <w:sz w:val="24"/>
                <w:szCs w:val="24"/>
                <w:color w:val="auto"/>
              </w:rPr>
            </w:pPr>
          </w:p>
        </w:tc>
        <w:tc>
          <w:tcPr>
            <w:tcW w:w="7900" w:type="dxa"/>
            <w:vAlign w:val="bottom"/>
            <w:gridSpan w:val="2"/>
          </w:tcPr>
          <w:p>
            <w:pPr>
              <w:spacing w:after="0"/>
              <w:rPr>
                <w:sz w:val="20"/>
                <w:szCs w:val="20"/>
                <w:color w:val="auto"/>
              </w:rPr>
            </w:pPr>
            <w:r>
              <w:rPr>
                <w:rFonts w:ascii="Arial" w:cs="Arial" w:eastAsia="Arial" w:hAnsi="Arial"/>
                <w:sz w:val="16"/>
                <w:szCs w:val="16"/>
                <w:b w:val="1"/>
                <w:bCs w:val="1"/>
                <w:color w:val="auto"/>
              </w:rPr>
              <w:t>(in thousands, except share and per share amounts)</w:t>
            </w:r>
          </w:p>
        </w:tc>
        <w:tc>
          <w:tcPr>
            <w:tcW w:w="160" w:type="dxa"/>
            <w:vAlign w:val="bottom"/>
          </w:tcPr>
          <w:p>
            <w:pPr>
              <w:spacing w:after="0"/>
              <w:rPr>
                <w:sz w:val="24"/>
                <w:szCs w:val="24"/>
                <w:color w:val="auto"/>
              </w:rPr>
            </w:pPr>
          </w:p>
        </w:tc>
        <w:tc>
          <w:tcPr>
            <w:tcW w:w="1380" w:type="dxa"/>
            <w:vAlign w:val="bottom"/>
          </w:tcPr>
          <w:p>
            <w:pPr>
              <w:jc w:val="right"/>
              <w:ind w:right="113"/>
              <w:spacing w:after="0"/>
              <w:rPr>
                <w:sz w:val="20"/>
                <w:szCs w:val="20"/>
                <w:color w:val="auto"/>
              </w:rPr>
            </w:pPr>
            <w:r>
              <w:rPr>
                <w:rFonts w:ascii="Arial" w:cs="Arial" w:eastAsia="Arial" w:hAnsi="Arial"/>
                <w:sz w:val="16"/>
                <w:szCs w:val="16"/>
                <w:b w:val="1"/>
                <w:bCs w:val="1"/>
                <w:color w:val="auto"/>
              </w:rPr>
              <w:t>March 29, 2025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133"/>
              <w:spacing w:after="0"/>
              <w:rPr>
                <w:sz w:val="20"/>
                <w:szCs w:val="20"/>
                <w:color w:val="auto"/>
              </w:rPr>
            </w:pPr>
            <w:r>
              <w:rPr>
                <w:rFonts w:ascii="Arial" w:cs="Arial" w:eastAsia="Arial" w:hAnsi="Arial"/>
                <w:sz w:val="16"/>
                <w:szCs w:val="16"/>
                <w:b w:val="1"/>
                <w:bCs w:val="1"/>
                <w:color w:val="auto"/>
              </w:rPr>
              <w:t>March 30, 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960" w:type="dxa"/>
            <w:vAlign w:val="bottom"/>
            <w:tcBorders>
              <w:top w:val="single" w:sz="8" w:color="auto"/>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790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color w:val="auto"/>
              </w:rPr>
              <w:t>Numerator:</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7900" w:type="dxa"/>
            <w:vAlign w:val="bottom"/>
            <w:gridSpan w:val="2"/>
          </w:tcPr>
          <w:p>
            <w:pPr>
              <w:spacing w:after="0"/>
              <w:rPr>
                <w:sz w:val="20"/>
                <w:szCs w:val="20"/>
                <w:color w:val="auto"/>
              </w:rPr>
            </w:pPr>
            <w:r>
              <w:rPr>
                <w:rFonts w:ascii="Arial" w:cs="Arial" w:eastAsia="Arial" w:hAnsi="Arial"/>
                <w:sz w:val="18"/>
                <w:szCs w:val="18"/>
                <w:color w:val="auto"/>
              </w:rPr>
              <w:t>Net loss available to common stockholders—basic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(52,916)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(54,361)</w:t>
            </w:r>
          </w:p>
        </w:tc>
      </w:tr>
      <w:tr>
        <w:trPr>
          <w:trHeight w:val="225"/>
        </w:trPr>
        <w:tc>
          <w:tcPr>
            <w:tcW w:w="20" w:type="dxa"/>
            <w:vAlign w:val="bottom"/>
            <w:shd w:val="clear" w:color="auto" w:fill="CCEEFF"/>
          </w:tcPr>
          <w:p>
            <w:pPr>
              <w:spacing w:after="0"/>
              <w:rPr>
                <w:sz w:val="19"/>
                <w:szCs w:val="19"/>
                <w:color w:val="auto"/>
              </w:rPr>
            </w:pPr>
          </w:p>
        </w:tc>
        <w:tc>
          <w:tcPr>
            <w:tcW w:w="7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Denominator:</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5"/>
        </w:trPr>
        <w:tc>
          <w:tcPr>
            <w:tcW w:w="20" w:type="dxa"/>
            <w:vAlign w:val="bottom"/>
          </w:tcPr>
          <w:p>
            <w:pPr>
              <w:spacing w:after="0"/>
              <w:rPr>
                <w:sz w:val="19"/>
                <w:szCs w:val="19"/>
                <w:color w:val="auto"/>
              </w:rPr>
            </w:pPr>
          </w:p>
        </w:tc>
        <w:tc>
          <w:tcPr>
            <w:tcW w:w="7900" w:type="dxa"/>
            <w:vAlign w:val="bottom"/>
            <w:gridSpan w:val="2"/>
          </w:tcPr>
          <w:p>
            <w:pPr>
              <w:ind w:left="160"/>
              <w:spacing w:after="0"/>
              <w:rPr>
                <w:sz w:val="20"/>
                <w:szCs w:val="20"/>
                <w:color w:val="auto"/>
              </w:rPr>
            </w:pPr>
            <w:r>
              <w:rPr>
                <w:rFonts w:ascii="Arial" w:cs="Arial" w:eastAsia="Arial" w:hAnsi="Arial"/>
                <w:sz w:val="18"/>
                <w:szCs w:val="18"/>
                <w:color w:val="auto"/>
              </w:rPr>
              <w:t>Weighted average common shares outstanding—basic</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76,194,916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64,702,249</w:t>
            </w:r>
          </w:p>
        </w:tc>
      </w:tr>
      <w:tr>
        <w:trPr>
          <w:trHeight w:val="225"/>
        </w:trPr>
        <w:tc>
          <w:tcPr>
            <w:tcW w:w="20" w:type="dxa"/>
            <w:vAlign w:val="bottom"/>
            <w:shd w:val="clear" w:color="auto" w:fill="CCEEFF"/>
          </w:tcPr>
          <w:p>
            <w:pPr>
              <w:spacing w:after="0"/>
              <w:rPr>
                <w:sz w:val="19"/>
                <w:szCs w:val="19"/>
                <w:color w:val="auto"/>
              </w:rPr>
            </w:pPr>
          </w:p>
        </w:tc>
        <w:tc>
          <w:tcPr>
            <w:tcW w:w="7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Dilutive effect of shares issuable under stock options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20" w:type="dxa"/>
            <w:vAlign w:val="bottom"/>
          </w:tcPr>
          <w:p>
            <w:pPr>
              <w:spacing w:after="0"/>
              <w:rPr>
                <w:sz w:val="19"/>
                <w:szCs w:val="19"/>
                <w:color w:val="auto"/>
              </w:rPr>
            </w:pPr>
          </w:p>
        </w:tc>
        <w:tc>
          <w:tcPr>
            <w:tcW w:w="7900" w:type="dxa"/>
            <w:vAlign w:val="bottom"/>
            <w:gridSpan w:val="2"/>
          </w:tcPr>
          <w:p>
            <w:pPr>
              <w:ind w:left="160"/>
              <w:spacing w:after="0"/>
              <w:rPr>
                <w:sz w:val="20"/>
                <w:szCs w:val="20"/>
                <w:color w:val="auto"/>
              </w:rPr>
            </w:pPr>
            <w:r>
              <w:rPr>
                <w:rFonts w:ascii="Arial" w:cs="Arial" w:eastAsia="Arial" w:hAnsi="Arial"/>
                <w:sz w:val="18"/>
                <w:szCs w:val="18"/>
                <w:color w:val="auto"/>
              </w:rPr>
              <w:t>Dilutive effect of RSUs</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20" w:type="dxa"/>
            <w:vAlign w:val="bottom"/>
            <w:shd w:val="clear" w:color="auto" w:fill="CCEEFF"/>
          </w:tcPr>
          <w:p>
            <w:pPr>
              <w:spacing w:after="0"/>
              <w:rPr>
                <w:sz w:val="19"/>
                <w:szCs w:val="19"/>
                <w:color w:val="auto"/>
              </w:rPr>
            </w:pPr>
          </w:p>
        </w:tc>
        <w:tc>
          <w:tcPr>
            <w:tcW w:w="79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Dilutive effect of PSUs</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20" w:type="dxa"/>
            <w:vAlign w:val="bottom"/>
            <w:tcBorders>
              <w:bottom w:val="single" w:sz="8" w:color="CCEEFF"/>
            </w:tcBorders>
          </w:tcPr>
          <w:p>
            <w:pPr>
              <w:spacing w:after="0"/>
              <w:rPr>
                <w:sz w:val="19"/>
                <w:szCs w:val="19"/>
                <w:color w:val="auto"/>
              </w:rPr>
            </w:pPr>
          </w:p>
        </w:tc>
        <w:tc>
          <w:tcPr>
            <w:tcW w:w="7900" w:type="dxa"/>
            <w:vAlign w:val="bottom"/>
            <w:tcBorders>
              <w:bottom w:val="single" w:sz="8" w:color="CCEEFF"/>
            </w:tcBorders>
            <w:gridSpan w:val="2"/>
          </w:tcPr>
          <w:p>
            <w:pPr>
              <w:ind w:left="160"/>
              <w:spacing w:after="0" w:line="225" w:lineRule="exact"/>
              <w:rPr>
                <w:sz w:val="20"/>
                <w:szCs w:val="20"/>
                <w:color w:val="auto"/>
              </w:rPr>
            </w:pPr>
            <w:r>
              <w:rPr>
                <w:rFonts w:ascii="Arial" w:cs="Arial" w:eastAsia="Arial" w:hAnsi="Arial"/>
                <w:sz w:val="18"/>
                <w:szCs w:val="18"/>
                <w:color w:val="auto"/>
              </w:rPr>
              <w:t>Dilutive effect of Notes, if converted</w:t>
            </w:r>
            <w:r>
              <w:rPr>
                <w:rFonts w:ascii="Arial" w:cs="Arial" w:eastAsia="Arial" w:hAnsi="Arial"/>
                <w:sz w:val="22"/>
                <w:szCs w:val="22"/>
                <w:color w:val="auto"/>
                <w:vertAlign w:val="superscript"/>
              </w:rPr>
              <w:t>(1)</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7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Weighted average common shares outstanding—diluted</w:t>
            </w:r>
          </w:p>
        </w:tc>
        <w:tc>
          <w:tcPr>
            <w:tcW w:w="16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76,194,916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64,702,249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gridSpan w:val="2"/>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7900" w:type="dxa"/>
            <w:vAlign w:val="bottom"/>
            <w:gridSpan w:val="2"/>
          </w:tcPr>
          <w:p>
            <w:pPr>
              <w:spacing w:after="0" w:line="198" w:lineRule="exact"/>
              <w:rPr>
                <w:sz w:val="20"/>
                <w:szCs w:val="20"/>
                <w:color w:val="auto"/>
              </w:rPr>
            </w:pPr>
            <w:r>
              <w:rPr>
                <w:rFonts w:ascii="Arial" w:cs="Arial" w:eastAsia="Arial" w:hAnsi="Arial"/>
                <w:sz w:val="18"/>
                <w:szCs w:val="18"/>
                <w:color w:val="auto"/>
              </w:rPr>
              <w:t>Net loss per share available to common stockholders—basic and diluted</w:t>
            </w:r>
          </w:p>
        </w:tc>
        <w:tc>
          <w:tcPr>
            <w:tcW w:w="160" w:type="dxa"/>
            <w:vAlign w:val="bottom"/>
            <w:tcBorders>
              <w:top w:val="single" w:sz="8" w:color="auto"/>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(0.69)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8" w:lineRule="exact"/>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(0.84)</w:t>
            </w: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____________</w:t>
      </w:r>
    </w:p>
    <w:p>
      <w:pPr>
        <w:spacing w:after="0" w:line="26" w:lineRule="exact"/>
        <w:rPr>
          <w:sz w:val="20"/>
          <w:szCs w:val="20"/>
          <w:color w:val="auto"/>
        </w:rPr>
      </w:pPr>
    </w:p>
    <w:p>
      <w:pPr>
        <w:ind w:left="240" w:right="80" w:hanging="234"/>
        <w:spacing w:after="0" w:line="304" w:lineRule="auto"/>
        <w:tabs>
          <w:tab w:leader="none" w:pos="2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As the Company recorded a net loss in the three months ended March 29, 2025 and </w:t>
      </w:r>
      <w:r>
        <w:rPr>
          <w:rFonts w:ascii="Arial" w:cs="Arial" w:eastAsia="Arial" w:hAnsi="Arial"/>
          <w:sz w:val="17"/>
          <w:szCs w:val="17"/>
          <w:color w:val="auto"/>
        </w:rPr>
        <w:t>March 30, 2024</w:t>
      </w:r>
      <w:r>
        <w:rPr>
          <w:rFonts w:ascii="Arial" w:cs="Arial" w:eastAsia="Arial" w:hAnsi="Arial"/>
          <w:sz w:val="16"/>
          <w:szCs w:val="16"/>
          <w:color w:val="auto"/>
        </w:rPr>
        <w:t xml:space="preserve">, inclusion of shares from the conversion premium or spread would be anti-dilutive. The Company had $1.15 billion in Notes outstanding as of March 29, 2025 and </w:t>
      </w:r>
      <w:r>
        <w:rPr>
          <w:rFonts w:ascii="Arial" w:cs="Arial" w:eastAsia="Arial" w:hAnsi="Arial"/>
          <w:sz w:val="17"/>
          <w:szCs w:val="17"/>
          <w:color w:val="auto"/>
        </w:rPr>
        <w:t>March 30, 2024</w:t>
      </w:r>
      <w:r>
        <w:rPr>
          <w:rFonts w:ascii="Arial" w:cs="Arial" w:eastAsia="Arial" w:hAnsi="Arial"/>
          <w:sz w:val="16"/>
          <w:szCs w:val="16"/>
          <w:color w:val="auto"/>
        </w:rPr>
        <w:t>.</w:t>
      </w:r>
    </w:p>
    <w:p>
      <w:pPr>
        <w:spacing w:after="0" w:line="286" w:lineRule="exact"/>
        <w:rPr>
          <w:sz w:val="20"/>
          <w:szCs w:val="20"/>
          <w:color w:val="auto"/>
        </w:rPr>
      </w:pPr>
    </w:p>
    <w:p>
      <w:pPr>
        <w:ind w:right="120" w:firstLine="318"/>
        <w:spacing w:after="0" w:line="290" w:lineRule="auto"/>
        <w:rPr>
          <w:sz w:val="20"/>
          <w:szCs w:val="20"/>
          <w:color w:val="auto"/>
        </w:rPr>
      </w:pPr>
      <w:r>
        <w:rPr>
          <w:rFonts w:ascii="Arial" w:cs="Arial" w:eastAsia="Arial" w:hAnsi="Arial"/>
          <w:sz w:val="18"/>
          <w:szCs w:val="18"/>
          <w:color w:val="auto"/>
        </w:rPr>
        <w:t>The following outstanding shares of common stock equivalents were excluded from the computation of diluted net loss per share available to common stockholders for the periods presented because the impact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412"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including them would have been antidilutive:</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60" w:type="dxa"/>
            <w:vAlign w:val="bottom"/>
          </w:tcPr>
          <w:p>
            <w:pPr>
              <w:spacing w:after="0"/>
              <w:rPr>
                <w:sz w:val="18"/>
                <w:szCs w:val="18"/>
                <w:color w:val="auto"/>
              </w:rPr>
            </w:pPr>
          </w:p>
        </w:tc>
        <w:tc>
          <w:tcPr>
            <w:tcW w:w="2880" w:type="dxa"/>
            <w:vAlign w:val="bottom"/>
            <w:tcBorders>
              <w:bottom w:val="single" w:sz="8" w:color="auto"/>
            </w:tcBorders>
            <w:gridSpan w:val="3"/>
          </w:tcPr>
          <w:p>
            <w:pPr>
              <w:jc w:val="right"/>
              <w:ind w:right="573"/>
              <w:spacing w:after="0"/>
              <w:rPr>
                <w:sz w:val="20"/>
                <w:szCs w:val="20"/>
                <w:color w:val="auto"/>
              </w:rPr>
            </w:pPr>
            <w:r>
              <w:rPr>
                <w:rFonts w:ascii="Arial" w:cs="Arial" w:eastAsia="Arial" w:hAnsi="Arial"/>
                <w:sz w:val="16"/>
                <w:szCs w:val="16"/>
                <w:b w:val="1"/>
                <w:bCs w:val="1"/>
                <w:color w:val="auto"/>
              </w:rPr>
              <w:t>Three Months Ended</w:t>
            </w:r>
          </w:p>
        </w:tc>
      </w:tr>
      <w:tr>
        <w:trPr>
          <w:trHeight w:val="351"/>
        </w:trPr>
        <w:tc>
          <w:tcPr>
            <w:tcW w:w="8360" w:type="dxa"/>
            <w:vAlign w:val="bottom"/>
          </w:tcPr>
          <w:p>
            <w:pPr>
              <w:spacing w:after="0"/>
              <w:rPr>
                <w:sz w:val="24"/>
                <w:szCs w:val="24"/>
                <w:color w:val="auto"/>
              </w:rPr>
            </w:pPr>
          </w:p>
        </w:tc>
        <w:tc>
          <w:tcPr>
            <w:tcW w:w="150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29, 2025</w:t>
            </w:r>
          </w:p>
        </w:tc>
        <w:tc>
          <w:tcPr>
            <w:tcW w:w="1380" w:type="dxa"/>
            <w:vAlign w:val="bottom"/>
          </w:tcPr>
          <w:p>
            <w:pPr>
              <w:jc w:val="right"/>
              <w:ind w:right="33"/>
              <w:spacing w:after="0"/>
              <w:rPr>
                <w:sz w:val="20"/>
                <w:szCs w:val="20"/>
                <w:color w:val="auto"/>
              </w:rPr>
            </w:pPr>
            <w:r>
              <w:rPr>
                <w:rFonts w:ascii="Arial" w:cs="Arial" w:eastAsia="Arial" w:hAnsi="Arial"/>
                <w:sz w:val="16"/>
                <w:szCs w:val="16"/>
                <w:b w:val="1"/>
                <w:bCs w:val="1"/>
                <w:color w:val="auto"/>
              </w:rPr>
              <w:t>March 30, 2024</w:t>
            </w:r>
          </w:p>
        </w:tc>
      </w:tr>
      <w:tr>
        <w:trPr>
          <w:trHeight w:val="218"/>
        </w:trPr>
        <w:tc>
          <w:tcPr>
            <w:tcW w:w="8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4,211,947</w:t>
            </w:r>
          </w:p>
        </w:tc>
        <w:tc>
          <w:tcPr>
            <w:tcW w:w="14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5,311,878</w:t>
            </w:r>
          </w:p>
        </w:tc>
      </w:tr>
      <w:tr>
        <w:trPr>
          <w:trHeight w:val="225"/>
        </w:trPr>
        <w:tc>
          <w:tcPr>
            <w:tcW w:w="8360" w:type="dxa"/>
            <w:vAlign w:val="bottom"/>
          </w:tcPr>
          <w:p>
            <w:pPr>
              <w:ind w:left="20"/>
              <w:spacing w:after="0"/>
              <w:rPr>
                <w:sz w:val="20"/>
                <w:szCs w:val="20"/>
                <w:color w:val="auto"/>
              </w:rPr>
            </w:pPr>
            <w:r>
              <w:rPr>
                <w:rFonts w:ascii="Arial" w:cs="Arial" w:eastAsia="Arial" w:hAnsi="Arial"/>
                <w:sz w:val="18"/>
                <w:szCs w:val="18"/>
                <w:color w:val="auto"/>
              </w:rPr>
              <w:t>RSUs</w:t>
            </w:r>
          </w:p>
        </w:tc>
        <w:tc>
          <w:tcPr>
            <w:tcW w:w="1360" w:type="dxa"/>
            <w:vAlign w:val="bottom"/>
          </w:tcPr>
          <w:p>
            <w:pPr>
              <w:jc w:val="right"/>
              <w:spacing w:after="0"/>
              <w:rPr>
                <w:sz w:val="20"/>
                <w:szCs w:val="20"/>
                <w:color w:val="auto"/>
              </w:rPr>
            </w:pPr>
            <w:r>
              <w:rPr>
                <w:rFonts w:ascii="Arial" w:cs="Arial" w:eastAsia="Arial" w:hAnsi="Arial"/>
                <w:sz w:val="18"/>
                <w:szCs w:val="18"/>
                <w:color w:val="auto"/>
              </w:rPr>
              <w:t>1,805,678</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2,386,363</w:t>
            </w:r>
          </w:p>
        </w:tc>
      </w:tr>
      <w:tr>
        <w:trPr>
          <w:trHeight w:val="225"/>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PSUs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145,660</w:t>
            </w:r>
          </w:p>
        </w:tc>
        <w:tc>
          <w:tcPr>
            <w:tcW w:w="14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225,967</w:t>
            </w:r>
          </w:p>
        </w:tc>
      </w:tr>
      <w:tr>
        <w:trPr>
          <w:trHeight w:val="218"/>
        </w:trPr>
        <w:tc>
          <w:tcPr>
            <w:tcW w:w="8360" w:type="dxa"/>
            <w:vAlign w:val="bottom"/>
          </w:tcPr>
          <w:p>
            <w:pPr>
              <w:ind w:left="20"/>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6,163,285</w:t>
            </w:r>
          </w:p>
        </w:tc>
        <w:tc>
          <w:tcPr>
            <w:tcW w:w="14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7,924,208</w:t>
            </w:r>
          </w:p>
        </w:tc>
      </w:tr>
      <w:tr>
        <w:trPr>
          <w:trHeight w:val="20"/>
        </w:trPr>
        <w:tc>
          <w:tcPr>
            <w:tcW w:w="83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Related Party Transactions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TPP</w:t>
      </w:r>
    </w:p>
    <w:p>
      <w:pPr>
        <w:spacing w:after="0" w:line="177" w:lineRule="exact"/>
        <w:rPr>
          <w:sz w:val="20"/>
          <w:szCs w:val="20"/>
          <w:color w:val="auto"/>
        </w:rPr>
      </w:pPr>
    </w:p>
    <w:p>
      <w:pPr>
        <w:jc w:val="both"/>
        <w:ind w:right="160" w:firstLine="318"/>
        <w:spacing w:after="0" w:line="283" w:lineRule="auto"/>
        <w:rPr>
          <w:sz w:val="20"/>
          <w:szCs w:val="20"/>
          <w:color w:val="auto"/>
        </w:rPr>
      </w:pPr>
      <w:r>
        <w:rPr>
          <w:rFonts w:ascii="Arial" w:cs="Arial" w:eastAsia="Arial" w:hAnsi="Arial"/>
          <w:sz w:val="18"/>
          <w:szCs w:val="18"/>
          <w:color w:val="auto"/>
        </w:rPr>
        <w:t xml:space="preserve">In connection with the Company’s investment in TPP, a joint venture with PepsiCo, Inc., the Company sold certain products directly to the joint venture. As part of its Global Operations Review, in 2023, the Company made the decision to discontinue the Beyond Meat Jerky product line and discontinued it in 2024. See </w:t>
      </w:r>
      <w:r>
        <w:rPr>
          <w:rFonts w:ascii="Arial" w:cs="Arial" w:eastAsia="Arial" w:hAnsi="Arial"/>
          <w:sz w:val="18"/>
          <w:szCs w:val="18"/>
          <w:u w:val="single" w:color="auto"/>
          <w:color w:val="0000FF"/>
        </w:rPr>
        <w:t>Note 9</w:t>
      </w:r>
      <w:r>
        <w:rPr>
          <w:rFonts w:ascii="Arial" w:cs="Arial" w:eastAsia="Arial" w:hAnsi="Arial"/>
          <w:sz w:val="18"/>
          <w:szCs w:val="18"/>
          <w:color w:val="auto"/>
        </w:rPr>
        <w:t>.</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earned $0 net revenues from TPP in each of the three months ended March 29, 2025 and March 30, 2024.</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Segment Information</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 operates in one segment in the plant-based meat industry, offering a portfolio of revolutionary plant-based meats.</w:t>
      </w:r>
    </w:p>
    <w:p>
      <w:pPr>
        <w:spacing w:after="0" w:line="191" w:lineRule="exact"/>
        <w:rPr>
          <w:sz w:val="20"/>
          <w:szCs w:val="20"/>
          <w:color w:val="auto"/>
        </w:rPr>
      </w:pPr>
    </w:p>
    <w:p>
      <w:pPr>
        <w:ind w:right="80" w:firstLine="318"/>
        <w:spacing w:after="0" w:line="290" w:lineRule="auto"/>
        <w:rPr>
          <w:sz w:val="20"/>
          <w:szCs w:val="20"/>
          <w:color w:val="auto"/>
        </w:rPr>
      </w:pPr>
      <w:r>
        <w:rPr>
          <w:rFonts w:ascii="Arial" w:cs="Arial" w:eastAsia="Arial" w:hAnsi="Arial"/>
          <w:sz w:val="18"/>
          <w:szCs w:val="18"/>
          <w:color w:val="auto"/>
        </w:rPr>
        <w:t>In accordance with ASC 280, “Segment Reporting,” the Company’s Chief Executive Officer and President, who reviews operating results to make decisions about allocating resources and assessing performance for the entire Company, has been identified as the CODM.</w:t>
      </w:r>
    </w:p>
    <w:p>
      <w:pPr>
        <w:spacing w:after="0" w:line="109" w:lineRule="exact"/>
        <w:rPr>
          <w:sz w:val="20"/>
          <w:szCs w:val="20"/>
          <w:color w:val="auto"/>
        </w:rPr>
      </w:pPr>
    </w:p>
    <w:p>
      <w:pPr>
        <w:ind w:right="100" w:firstLine="318"/>
        <w:spacing w:after="0" w:line="275" w:lineRule="auto"/>
        <w:rPr>
          <w:sz w:val="20"/>
          <w:szCs w:val="20"/>
          <w:color w:val="auto"/>
        </w:rPr>
      </w:pPr>
      <w:r>
        <w:rPr>
          <w:rFonts w:ascii="Arial" w:cs="Arial" w:eastAsia="Arial" w:hAnsi="Arial"/>
          <w:sz w:val="18"/>
          <w:szCs w:val="18"/>
          <w:color w:val="auto"/>
        </w:rPr>
        <w:t>The Company derives revenue primarily in North America and Europe and manages the business activities on a consolidated basis. The Company’s CODM allocates resources and assesses performance at the consolidated level. As the Company operates in one segment, entity-wide segment disclosures about products and services, and major customers are the same as what has been presented elsewhere in this report and in the accompanying condensed consolidated financial statements.</w:t>
      </w:r>
    </w:p>
    <w:p>
      <w:pPr>
        <w:spacing w:after="0" w:line="138" w:lineRule="exact"/>
        <w:rPr>
          <w:sz w:val="20"/>
          <w:szCs w:val="20"/>
          <w:color w:val="auto"/>
        </w:rPr>
      </w:pPr>
    </w:p>
    <w:p>
      <w:pPr>
        <w:ind w:right="400" w:firstLine="318"/>
        <w:spacing w:after="0" w:line="321" w:lineRule="auto"/>
        <w:rPr>
          <w:sz w:val="20"/>
          <w:szCs w:val="20"/>
          <w:color w:val="auto"/>
        </w:rPr>
      </w:pPr>
      <w:r>
        <w:rPr>
          <w:rFonts w:ascii="Arial" w:cs="Arial" w:eastAsia="Arial" w:hAnsi="Arial"/>
          <w:sz w:val="17"/>
          <w:szCs w:val="17"/>
          <w:color w:val="auto"/>
        </w:rPr>
        <w:t xml:space="preserve">The accounting policies of the segment are the same as those described in </w:t>
      </w:r>
      <w:r>
        <w:rPr>
          <w:rFonts w:ascii="Arial" w:cs="Arial" w:eastAsia="Arial" w:hAnsi="Arial"/>
          <w:sz w:val="17"/>
          <w:szCs w:val="17"/>
          <w:u w:val="single" w:color="auto"/>
          <w:color w:val="0000FF"/>
        </w:rPr>
        <w:t>Note 2</w:t>
      </w:r>
      <w:r>
        <w:rPr>
          <w:rFonts w:ascii="Arial" w:cs="Arial" w:eastAsia="Arial" w:hAnsi="Arial"/>
          <w:sz w:val="17"/>
          <w:szCs w:val="17"/>
          <w:color w:val="auto"/>
        </w:rPr>
        <w:t>. On a quarterly basis, the CODM reviews the GAAP measure of consolidated net (loss) income as the measure of the segment’s performance and for determining the allocation of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700" w:firstLine="318"/>
        <w:spacing w:after="0" w:line="290" w:lineRule="auto"/>
        <w:rPr>
          <w:sz w:val="20"/>
          <w:szCs w:val="20"/>
          <w:color w:val="auto"/>
        </w:rPr>
      </w:pPr>
      <w:r>
        <w:rPr>
          <w:rFonts w:ascii="Arial" w:cs="Arial" w:eastAsia="Arial" w:hAnsi="Arial"/>
          <w:sz w:val="18"/>
          <w:szCs w:val="18"/>
          <w:color w:val="auto"/>
        </w:rPr>
        <w:t>The following table presents the details of the significant segment expenses, segment net revenues, and the segment performance measure, net loss, in the periods indicated.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7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4"/>
          </w:tcPr>
          <w:p>
            <w:pPr>
              <w:jc w:val="right"/>
              <w:ind w:right="892"/>
              <w:spacing w:after="0"/>
              <w:rPr>
                <w:sz w:val="20"/>
                <w:szCs w:val="20"/>
                <w:color w:val="auto"/>
              </w:rPr>
            </w:pPr>
            <w:r>
              <w:rPr>
                <w:rFonts w:ascii="Arial" w:cs="Arial" w:eastAsia="Arial" w:hAnsi="Arial"/>
                <w:sz w:val="16"/>
                <w:szCs w:val="16"/>
                <w:b w:val="1"/>
                <w:bCs w:val="1"/>
                <w:color w:val="auto"/>
              </w:rPr>
              <w:t>Three Months Ended</w:t>
            </w:r>
          </w:p>
        </w:tc>
      </w:tr>
      <w:tr>
        <w:trPr>
          <w:trHeight w:val="205"/>
        </w:trPr>
        <w:tc>
          <w:tcPr>
            <w:tcW w:w="7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ind w:left="80"/>
              <w:spacing w:after="0"/>
              <w:rPr>
                <w:sz w:val="20"/>
                <w:szCs w:val="20"/>
                <w:color w:val="auto"/>
              </w:rPr>
            </w:pPr>
            <w:r>
              <w:rPr>
                <w:rFonts w:ascii="Arial" w:cs="Arial" w:eastAsia="Arial" w:hAnsi="Arial"/>
                <w:sz w:val="16"/>
                <w:szCs w:val="16"/>
                <w:b w:val="1"/>
                <w:bCs w:val="1"/>
                <w:color w:val="auto"/>
              </w:rPr>
              <w:t>March 29, 2025</w:t>
            </w:r>
          </w:p>
        </w:tc>
        <w:tc>
          <w:tcPr>
            <w:tcW w:w="200" w:type="dxa"/>
            <w:vAlign w:val="bottom"/>
          </w:tcPr>
          <w:p>
            <w:pPr>
              <w:spacing w:after="0"/>
              <w:rPr>
                <w:sz w:val="17"/>
                <w:szCs w:val="17"/>
                <w:color w:val="auto"/>
              </w:rPr>
            </w:pPr>
          </w:p>
        </w:tc>
        <w:tc>
          <w:tcPr>
            <w:tcW w:w="1520" w:type="dxa"/>
            <w:vAlign w:val="bottom"/>
          </w:tcPr>
          <w:p>
            <w:pPr>
              <w:jc w:val="right"/>
              <w:ind w:right="212"/>
              <w:spacing w:after="0"/>
              <w:rPr>
                <w:sz w:val="20"/>
                <w:szCs w:val="20"/>
                <w:color w:val="auto"/>
              </w:rPr>
            </w:pPr>
            <w:r>
              <w:rPr>
                <w:rFonts w:ascii="Arial" w:cs="Arial" w:eastAsia="Arial" w:hAnsi="Arial"/>
                <w:sz w:val="16"/>
                <w:szCs w:val="16"/>
                <w:b w:val="1"/>
                <w:bCs w:val="1"/>
                <w:color w:val="auto"/>
              </w:rPr>
              <w:t>March 30, 2024</w:t>
            </w:r>
          </w:p>
        </w:tc>
      </w:tr>
      <w:tr>
        <w:trPr>
          <w:trHeight w:val="219"/>
        </w:trPr>
        <w:tc>
          <w:tcPr>
            <w:tcW w:w="7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68,731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75,603</w:t>
            </w:r>
          </w:p>
        </w:tc>
      </w:tr>
      <w:tr>
        <w:trPr>
          <w:trHeight w:val="225"/>
        </w:trPr>
        <w:tc>
          <w:tcPr>
            <w:tcW w:w="7700" w:type="dxa"/>
            <w:vAlign w:val="bottom"/>
          </w:tcPr>
          <w:p>
            <w:pPr>
              <w:ind w:left="20"/>
              <w:spacing w:after="0"/>
              <w:rPr>
                <w:sz w:val="20"/>
                <w:szCs w:val="20"/>
                <w:color w:val="auto"/>
              </w:rPr>
            </w:pPr>
            <w:r>
              <w:rPr>
                <w:rFonts w:ascii="Arial" w:cs="Arial" w:eastAsia="Arial" w:hAnsi="Arial"/>
                <w:sz w:val="18"/>
                <w:szCs w:val="18"/>
                <w:color w:val="auto"/>
              </w:rPr>
              <w:t>Less:</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5"/>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goods sold</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71,935</w:t>
            </w:r>
          </w:p>
        </w:tc>
      </w:tr>
      <w:tr>
        <w:trPr>
          <w:trHeight w:val="225"/>
        </w:trPr>
        <w:tc>
          <w:tcPr>
            <w:tcW w:w="7700" w:type="dxa"/>
            <w:vAlign w:val="bottom"/>
          </w:tcPr>
          <w:p>
            <w:pPr>
              <w:ind w:left="180"/>
              <w:spacing w:after="0"/>
              <w:rPr>
                <w:sz w:val="20"/>
                <w:szCs w:val="20"/>
                <w:color w:val="auto"/>
              </w:rPr>
            </w:pPr>
            <w:r>
              <w:rPr>
                <w:rFonts w:ascii="Arial" w:cs="Arial" w:eastAsia="Arial" w:hAnsi="Arial"/>
                <w:sz w:val="18"/>
                <w:szCs w:val="18"/>
                <w:color w:val="auto"/>
              </w:rPr>
              <w:t>Research and development expenses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7,462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9,860</w:t>
            </w:r>
          </w:p>
        </w:tc>
      </w:tr>
      <w:tr>
        <w:trPr>
          <w:trHeight w:val="225"/>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expenses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8,248</w:t>
            </w:r>
          </w:p>
        </w:tc>
      </w:tr>
      <w:tr>
        <w:trPr>
          <w:trHeight w:val="225"/>
        </w:trPr>
        <w:tc>
          <w:tcPr>
            <w:tcW w:w="7700" w:type="dxa"/>
            <w:vAlign w:val="bottom"/>
          </w:tcPr>
          <w:p>
            <w:pPr>
              <w:ind w:left="180"/>
              <w:spacing w:after="0"/>
              <w:rPr>
                <w:sz w:val="20"/>
                <w:szCs w:val="20"/>
                <w:color w:val="auto"/>
              </w:rPr>
            </w:pPr>
            <w:r>
              <w:rPr>
                <w:rFonts w:ascii="Arial" w:cs="Arial" w:eastAsia="Arial" w:hAnsi="Arial"/>
                <w:sz w:val="18"/>
                <w:szCs w:val="18"/>
                <w:color w:val="auto"/>
              </w:rPr>
              <w:t>Marketing expenses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12,088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8,226</w:t>
            </w:r>
          </w:p>
        </w:tc>
      </w:tr>
      <w:tr>
        <w:trPr>
          <w:trHeight w:val="225"/>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30,808</w:t>
            </w:r>
          </w:p>
        </w:tc>
      </w:tr>
      <w:tr>
        <w:trPr>
          <w:trHeight w:val="225"/>
        </w:trPr>
        <w:tc>
          <w:tcPr>
            <w:tcW w:w="77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1,015</w:t>
            </w:r>
          </w:p>
        </w:tc>
      </w:tr>
      <w:tr>
        <w:trPr>
          <w:trHeight w:val="225"/>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in income (losses) of unconsolidated joint venture</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5"/>
        </w:trPr>
        <w:tc>
          <w:tcPr>
            <w:tcW w:w="7700" w:type="dxa"/>
            <w:vAlign w:val="bottom"/>
            <w:tcBorders>
              <w:bottom w:val="single" w:sz="8" w:color="CCEEFF"/>
            </w:tcBorders>
          </w:tcPr>
          <w:p>
            <w:pPr>
              <w:ind w:left="180"/>
              <w:spacing w:after="0" w:line="225" w:lineRule="exact"/>
              <w:rPr>
                <w:sz w:val="20"/>
                <w:szCs w:val="20"/>
                <w:color w:val="auto"/>
              </w:rPr>
            </w:pPr>
            <w:r>
              <w:rPr>
                <w:rFonts w:ascii="Arial" w:cs="Arial" w:eastAsia="Arial" w:hAnsi="Arial"/>
                <w:sz w:val="18"/>
                <w:szCs w:val="18"/>
                <w:color w:val="auto"/>
              </w:rPr>
              <w:t>Other segment items</w:t>
            </w:r>
            <w:r>
              <w:rPr>
                <w:rFonts w:ascii="Arial" w:cs="Arial" w:eastAsia="Arial" w:hAnsi="Arial"/>
                <w:sz w:val="22"/>
                <w:szCs w:val="22"/>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r>
      <w:tr>
        <w:trPr>
          <w:trHeight w:val="243"/>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(52,916)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(54,361)</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___________</w:t>
      </w:r>
    </w:p>
    <w:p>
      <w:pPr>
        <w:spacing w:after="0" w:line="28" w:lineRule="exact"/>
        <w:rPr>
          <w:sz w:val="20"/>
          <w:szCs w:val="20"/>
          <w:color w:val="auto"/>
        </w:rPr>
      </w:pPr>
    </w:p>
    <w:p>
      <w:pPr>
        <w:ind w:left="240" w:right="160" w:hanging="234"/>
        <w:spacing w:after="0" w:line="259" w:lineRule="auto"/>
        <w:tabs>
          <w:tab w:leader="none" w:pos="2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Includes Other, net and Income tax (benefit) expense as reported in our condensed consolidated statements of operations. Other, net includes $0.9 million and $2.0 million in interest income in the three months ended March 29, 2025 and March 30, 2024, respectively. Other, net also includes $(3.5) million in foreign currency transaction gains and $2.3 million in foreign currency transaction losses in the three months ended March 29, 2025 and March 30, 2024, respectively.</w:t>
      </w:r>
    </w:p>
    <w:p>
      <w:pPr>
        <w:spacing w:after="0" w:line="184" w:lineRule="exact"/>
        <w:rPr>
          <w:sz w:val="20"/>
          <w:szCs w:val="20"/>
          <w:color w:val="auto"/>
        </w:rPr>
      </w:pPr>
    </w:p>
    <w:p>
      <w:pPr>
        <w:ind w:right="420" w:firstLine="318"/>
        <w:spacing w:after="0" w:line="305" w:lineRule="auto"/>
        <w:rPr>
          <w:sz w:val="20"/>
          <w:szCs w:val="20"/>
          <w:color w:val="auto"/>
        </w:rPr>
      </w:pPr>
      <w:r>
        <w:rPr>
          <w:rFonts w:ascii="Arial" w:cs="Arial" w:eastAsia="Arial" w:hAnsi="Arial"/>
          <w:sz w:val="18"/>
          <w:szCs w:val="18"/>
          <w:color w:val="auto"/>
        </w:rPr>
        <w:t>See the accompanying condensed consolidated financial statements for other financial information regarding the Company's operating segment.</w:t>
      </w:r>
    </w:p>
    <w:p>
      <w:pPr>
        <w:spacing w:after="0" w:line="97" w:lineRule="exact"/>
        <w:rPr>
          <w:sz w:val="20"/>
          <w:szCs w:val="20"/>
          <w:color w:val="auto"/>
        </w:rPr>
      </w:pPr>
    </w:p>
    <w:p>
      <w:pPr>
        <w:ind w:right="360" w:firstLine="318"/>
        <w:spacing w:after="0" w:line="290" w:lineRule="auto"/>
        <w:rPr>
          <w:sz w:val="20"/>
          <w:szCs w:val="20"/>
          <w:color w:val="auto"/>
        </w:rPr>
      </w:pPr>
      <w:r>
        <w:rPr>
          <w:rFonts w:ascii="Arial" w:cs="Arial" w:eastAsia="Arial" w:hAnsi="Arial"/>
          <w:sz w:val="18"/>
          <w:szCs w:val="18"/>
          <w:color w:val="auto"/>
        </w:rPr>
        <w:t>Long-lived assets include property, plant and equipment and operating lease right of use assets. The following table presents long-lived assets that cannot be readily removed in the Company’s business units as of the periods presented: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6"/>
                <w:szCs w:val="16"/>
                <w:b w:val="1"/>
                <w:bCs w:val="1"/>
                <w:color w:val="auto"/>
              </w:rPr>
              <w:t>March 29, 2025</w:t>
            </w:r>
          </w:p>
        </w:tc>
        <w:tc>
          <w:tcPr>
            <w:tcW w:w="1640" w:type="dxa"/>
            <w:vAlign w:val="bottom"/>
            <w:gridSpan w:val="2"/>
          </w:tcPr>
          <w:p>
            <w:pPr>
              <w:jc w:val="right"/>
              <w:ind w:right="12"/>
              <w:spacing w:after="0"/>
              <w:rPr>
                <w:sz w:val="20"/>
                <w:szCs w:val="20"/>
                <w:color w:val="auto"/>
              </w:rPr>
            </w:pPr>
            <w:r>
              <w:rPr>
                <w:rFonts w:ascii="Arial" w:cs="Arial" w:eastAsia="Arial" w:hAnsi="Arial"/>
                <w:sz w:val="16"/>
                <w:szCs w:val="16"/>
                <w:b w:val="1"/>
                <w:bCs w:val="1"/>
                <w:color w:val="auto"/>
              </w:rPr>
              <w:t>December 31, 2024</w:t>
            </w:r>
          </w:p>
        </w:tc>
      </w:tr>
      <w:tr>
        <w:trPr>
          <w:trHeight w:val="218"/>
        </w:trPr>
        <w:tc>
          <w:tcPr>
            <w:tcW w:w="7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271,311</w:t>
            </w:r>
          </w:p>
        </w:tc>
        <w:tc>
          <w:tcPr>
            <w:tcW w:w="14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5"/>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275,920</w:t>
            </w:r>
          </w:p>
        </w:tc>
      </w:tr>
      <w:tr>
        <w:trPr>
          <w:trHeight w:val="225"/>
        </w:trPr>
        <w:tc>
          <w:tcPr>
            <w:tcW w:w="7880" w:type="dxa"/>
            <w:vAlign w:val="bottom"/>
          </w:tcPr>
          <w:p>
            <w:pPr>
              <w:ind w:left="20"/>
              <w:spacing w:after="0" w:line="225" w:lineRule="exact"/>
              <w:rPr>
                <w:sz w:val="20"/>
                <w:szCs w:val="20"/>
                <w:color w:val="auto"/>
              </w:rPr>
            </w:pPr>
            <w:r>
              <w:rPr>
                <w:rFonts w:ascii="Arial" w:cs="Arial" w:eastAsia="Arial" w:hAnsi="Arial"/>
                <w:sz w:val="18"/>
                <w:szCs w:val="18"/>
                <w:color w:val="auto"/>
              </w:rPr>
              <w:t>Canada</w:t>
            </w:r>
            <w:r>
              <w:rPr>
                <w:rFonts w:ascii="Arial" w:cs="Arial" w:eastAsia="Arial" w:hAnsi="Arial"/>
                <w:sz w:val="22"/>
                <w:szCs w:val="22"/>
                <w:color w:val="auto"/>
                <w:vertAlign w:val="superscript"/>
              </w:rPr>
              <w:t>(1)</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2,090</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2,148</w:t>
            </w:r>
          </w:p>
        </w:tc>
      </w:tr>
      <w:tr>
        <w:trPr>
          <w:trHeight w:val="225"/>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 B.V. (the Netherlands)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15,829</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15,359</w:t>
            </w:r>
          </w:p>
        </w:tc>
      </w:tr>
      <w:tr>
        <w:trPr>
          <w:trHeight w:val="225"/>
        </w:trPr>
        <w:tc>
          <w:tcPr>
            <w:tcW w:w="7880" w:type="dxa"/>
            <w:vAlign w:val="bottom"/>
            <w:tcBorders>
              <w:bottom w:val="single" w:sz="8" w:color="CCEEFF"/>
            </w:tcBorders>
          </w:tcPr>
          <w:p>
            <w:pPr>
              <w:ind w:left="20"/>
              <w:spacing w:after="0" w:line="225" w:lineRule="exact"/>
              <w:rPr>
                <w:sz w:val="20"/>
                <w:szCs w:val="20"/>
                <w:color w:val="auto"/>
              </w:rPr>
            </w:pPr>
            <w:r>
              <w:rPr>
                <w:rFonts w:ascii="Arial" w:cs="Arial" w:eastAsia="Arial" w:hAnsi="Arial"/>
                <w:sz w:val="18"/>
                <w:szCs w:val="18"/>
                <w:color w:val="auto"/>
              </w:rPr>
              <w:t>China (Jiaxing)</w:t>
            </w:r>
            <w:r>
              <w:rPr>
                <w:rFonts w:ascii="Arial" w:cs="Arial" w:eastAsia="Arial" w:hAnsi="Arial"/>
                <w:sz w:val="22"/>
                <w:szCs w:val="22"/>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12,682</w:t>
            </w:r>
          </w:p>
        </w:tc>
        <w:tc>
          <w:tcPr>
            <w:tcW w:w="14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15,435</w:t>
            </w:r>
          </w:p>
        </w:tc>
      </w:tr>
      <w:tr>
        <w:trPr>
          <w:trHeight w:val="243"/>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long-lived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301,912</w:t>
            </w:r>
          </w:p>
        </w:tc>
        <w:tc>
          <w:tcPr>
            <w:tcW w:w="1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308,862</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____________</w:t>
      </w:r>
    </w:p>
    <w:p>
      <w:pPr>
        <w:spacing w:after="0" w:line="28" w:lineRule="exact"/>
        <w:rPr>
          <w:sz w:val="20"/>
          <w:szCs w:val="20"/>
          <w:color w:val="auto"/>
        </w:rPr>
      </w:pPr>
    </w:p>
    <w:p>
      <w:pPr>
        <w:ind w:left="240" w:hanging="234"/>
        <w:spacing w:after="0"/>
        <w:tabs>
          <w:tab w:leader="none" w:pos="2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Company’s Canada location serves as an extension of the U.S. sales organization.</w:t>
      </w:r>
    </w:p>
    <w:p>
      <w:pPr>
        <w:spacing w:after="0" w:line="17" w:lineRule="exact"/>
        <w:rPr>
          <w:rFonts w:ascii="Arial" w:cs="Arial" w:eastAsia="Arial" w:hAnsi="Arial"/>
          <w:sz w:val="16"/>
          <w:szCs w:val="16"/>
          <w:color w:val="auto"/>
        </w:rPr>
      </w:pPr>
    </w:p>
    <w:p>
      <w:pPr>
        <w:ind w:left="240" w:right="180" w:hanging="234"/>
        <w:spacing w:after="0" w:line="272" w:lineRule="auto"/>
        <w:tabs>
          <w:tab w:leader="none" w:pos="2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As part of the Company’s Global Operations Review, on February 24, 2025, the Company’s board of directors approved a plan to suspend the Company’s operational activities in China, which are estimated to cease by the end of the second quarter of 2025.</w:t>
      </w:r>
    </w:p>
    <w:p>
      <w:pPr>
        <w:spacing w:after="0" w:line="5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Net Revenues by Geographic Area</w:t>
      </w:r>
    </w:p>
    <w:p>
      <w:pPr>
        <w:spacing w:after="0" w:line="177" w:lineRule="exact"/>
        <w:rPr>
          <w:sz w:val="20"/>
          <w:szCs w:val="20"/>
          <w:color w:val="auto"/>
        </w:rPr>
      </w:pPr>
    </w:p>
    <w:p>
      <w:pPr>
        <w:ind w:right="160" w:firstLine="318"/>
        <w:spacing w:after="0" w:line="305" w:lineRule="auto"/>
        <w:rPr>
          <w:sz w:val="20"/>
          <w:szCs w:val="20"/>
          <w:color w:val="auto"/>
        </w:rPr>
      </w:pPr>
      <w:r>
        <w:rPr>
          <w:rFonts w:ascii="Arial" w:cs="Arial" w:eastAsia="Arial" w:hAnsi="Arial"/>
          <w:sz w:val="18"/>
          <w:szCs w:val="18"/>
          <w:color w:val="auto"/>
        </w:rPr>
        <w:t xml:space="preserve">The Company’s revenues are attributed to the country where the products are delivered. For disclosure about the segment’s net revenues by geographic area, see </w:t>
      </w:r>
      <w:r>
        <w:rPr>
          <w:rFonts w:ascii="Arial" w:cs="Arial" w:eastAsia="Arial" w:hAnsi="Arial"/>
          <w:sz w:val="18"/>
          <w:szCs w:val="18"/>
          <w:u w:val="single" w:color="auto"/>
          <w:color w:val="0000FF"/>
        </w:rPr>
        <w:t>Note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177" w:lineRule="exact"/>
        <w:rPr>
          <w:sz w:val="20"/>
          <w:szCs w:val="20"/>
          <w:color w:val="auto"/>
        </w:rPr>
      </w:pPr>
    </w:p>
    <w:p>
      <w:pPr>
        <w:ind w:firstLine="318"/>
        <w:spacing w:after="0" w:line="288" w:lineRule="auto"/>
        <w:rPr>
          <w:sz w:val="20"/>
          <w:szCs w:val="20"/>
          <w:color w:val="auto"/>
        </w:rPr>
      </w:pPr>
      <w:r>
        <w:rPr>
          <w:rFonts w:ascii="Arial" w:cs="Arial" w:eastAsia="Arial" w:hAnsi="Arial"/>
          <w:sz w:val="17"/>
          <w:szCs w:val="17"/>
          <w:color w:val="auto"/>
        </w:rPr>
        <w:t>Subsequent to the quarter ended March 29, 2025, on May 7, 2025, the Company, as borrower, entered into a Loan and Security Agreement (the “Loan and Security Agreement”) with Unprocessed Foods, LLC, an affiliate of the Ahimsa Foundation, as lender (“Unprocessed Foods”), the other lenders party thereto from time to time (together with Unprocessed Foods, the “Lenders”), and certain of the Company’s subsidiaries party thereto from time to time, as guarantors (together with the Company, the “Loan Parties”), pursuant to which the Lenders agreed to provide for a senior secured delayed draw term loan facility (the “Delayed Draw Term Loan Facility” and the loans thereunder, the “Delayed Draw Term Loans”) in an aggregate principal amount of $100.0 million. Certain of the Company’s subsidiaries will guarantee the Company’s obligations under the Loan and Security Agreement. The Delayed Draw Term Loans are secured by a first-priority lien and security interest in substantially all of the assets, subject to certain exceptions, of the Company and certain of its subsidiaries. In connection with the entry into the Delayed Draw Term Loan Facility, the Company agreed to pay the Lenders a non-refundable fee of $625,000.</w:t>
      </w:r>
    </w:p>
    <w:p>
      <w:pPr>
        <w:spacing w:after="0" w:line="115" w:lineRule="exact"/>
        <w:rPr>
          <w:sz w:val="20"/>
          <w:szCs w:val="20"/>
          <w:color w:val="auto"/>
        </w:rPr>
      </w:pPr>
    </w:p>
    <w:p>
      <w:pPr>
        <w:ind w:right="40" w:firstLine="318"/>
        <w:spacing w:after="0" w:line="286" w:lineRule="auto"/>
        <w:rPr>
          <w:sz w:val="20"/>
          <w:szCs w:val="20"/>
          <w:color w:val="auto"/>
        </w:rPr>
      </w:pPr>
      <w:r>
        <w:rPr>
          <w:rFonts w:ascii="Arial" w:cs="Arial" w:eastAsia="Arial" w:hAnsi="Arial"/>
          <w:sz w:val="17"/>
          <w:szCs w:val="17"/>
          <w:color w:val="auto"/>
        </w:rPr>
        <w:t>The Delayed Draw Term Loans are available to be drawn in one or more draws until February 7, 2026, subject to a minimum borrowing requirement of $3 million and satisfaction or waiver by the Lenders of the applicable conditions precedent set forth in the Loan and Security Agreement. Any Delayed Draw Term Loans borrowed under the Loan and Security Agreement will mature on February 7, 2030 (the “Initial Maturity Date”), which date may be extended by the Company, with the relevant Lenders’ consent, to no later than May 7, 2035. Borrowings under the Loan and Security Agreement will accrue interest at a rate per annum of 12.0%; provided that if the maturity date of any Delayed Draw Term Loan has been extended after the Initial Maturity Date, then such rate per annum will be 17.5% after the Initial Maturity Date. Proceeds of the Delayed Draw Term Loans may not be used to repay, amortize or restructure any debt for borrowed money other than debt owed to the Lenders and debt incurred by a Loan Party to finance the purchase, construction or improvement of any asset or services. Accrued but unpaid interest on each Delayed Draw Term Loan will be compounded on a quarterly basis and payable “in kind” by adding the amount of such accrued interest to the principal amount of the outstanding Delayed Draw Term Loans under the Loan and Security Agreement.</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Among other things, the Loan and Security Agreement includes covenants that (i) require the Company to maintain liquidity of at least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$15.0 million, (ii) do not permit the Company’s cash interest payments due under all of the Loan Parties’ subordinated debt and unsecured debt</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for borrowed money for any fiscal year of the Company, in the aggregate, to exceed $20.0 million, and (iii) cap the amount of cash that can be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used to repay the Notes at maturity at $60.0 million, subject to increase to the extent of any equity raises by the Company. The Loan and</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Security Agreement also contains covenants that restrict the ability of the Loan Parties and certain of their subsidiaries to make dividends or</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distributions, incur additional debt (including subordinated debt), engage in certain asset sales, mergers, acquisitions or similar transactions,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create liens on assets, engage in certain transactions with affiliates, change their businesses or make investments. The Loan and Security</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Agreement also contains change of control provisions that could have the effect of delaying or preventing an otherwise beneficial takeover of</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the Company.</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Warrant Agreement</w:t>
      </w:r>
    </w:p>
    <w:p>
      <w:pPr>
        <w:spacing w:after="0" w:line="177" w:lineRule="exact"/>
        <w:rPr>
          <w:sz w:val="20"/>
          <w:szCs w:val="20"/>
          <w:color w:val="auto"/>
        </w:rPr>
      </w:pPr>
    </w:p>
    <w:p>
      <w:pPr>
        <w:ind w:right="20" w:firstLine="318"/>
        <w:spacing w:after="0" w:line="273" w:lineRule="auto"/>
        <w:rPr>
          <w:sz w:val="20"/>
          <w:szCs w:val="20"/>
          <w:color w:val="auto"/>
        </w:rPr>
      </w:pPr>
      <w:r>
        <w:rPr>
          <w:rFonts w:ascii="Arial" w:cs="Arial" w:eastAsia="Arial" w:hAnsi="Arial"/>
          <w:sz w:val="18"/>
          <w:szCs w:val="18"/>
          <w:color w:val="auto"/>
        </w:rPr>
        <w:t>Subsequent to the quarter ended March 29, 2025, on May 7, 2025, in connection with the entry into the Loan and Security Agreement, the Company and the Lenders entered into a Warrant Agreement (the “Warrant Agreement”) setting forth the rights and obligations of the Company and the Lenders, as holders, in connection with warrants (the “Warrants”) representing the Lenders’ right to purchase up to, in the aggregate, 9,558,635 shares of common stock, (the “Maximum Warrant Share Amount”) at an exercise price to be calculated as 115% of the average daily volume-weighted average prices of the Company’s common stock for the 30-day period beginning on May 8, 2025, subject to a minimum exercise price of $2.00 and a maximum exercise price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412"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BEYOND MEAT,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87630</wp:posOffset>
            </wp:positionV>
            <wp:extent cx="71348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$3.75. The Loan and Security Agreement provides that at each funding date of any Delayed Draw Term Loans, the Company will execute and deliver to the applicable Lenders, Warrants representing the pro rata portion of the Maximum Warrant Share Amount based on the amount of Delayed Draw Term Loans provided by such Lender on the date thereof.</w:t>
      </w:r>
    </w:p>
    <w:p>
      <w:pPr>
        <w:spacing w:after="0" w:line="116" w:lineRule="exact"/>
        <w:rPr>
          <w:sz w:val="20"/>
          <w:szCs w:val="20"/>
          <w:color w:val="auto"/>
        </w:rPr>
      </w:pPr>
    </w:p>
    <w:p>
      <w:pPr>
        <w:jc w:val="both"/>
        <w:ind w:right="300" w:firstLine="318"/>
        <w:spacing w:after="0" w:line="283" w:lineRule="auto"/>
        <w:rPr>
          <w:sz w:val="20"/>
          <w:szCs w:val="20"/>
          <w:color w:val="auto"/>
        </w:rPr>
      </w:pPr>
      <w:r>
        <w:rPr>
          <w:rFonts w:ascii="Arial" w:cs="Arial" w:eastAsia="Arial" w:hAnsi="Arial"/>
          <w:sz w:val="18"/>
          <w:szCs w:val="18"/>
          <w:color w:val="auto"/>
        </w:rPr>
        <w:t>The Company agreed in the Warrant Agreement to provide certain customary registration rights with respect to the resale of shares of common stock underlying Warrants held by or issuable to the holders from time to time. The Warrant Agreement also contains customary indemnity, exculpation and contribution obligations in connection with such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60"/>
          </w:cols>
          <w:pgMar w:left="320" w:top="412" w:right="519" w:bottom="1440" w:gutter="0" w:footer="0" w:header="0"/>
        </w:sectPr>
      </w:pPr>
    </w:p>
    <w:bookmarkStart w:id="46" w:name="page47"/>
    <w:bookmarkEnd w:id="46"/>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9" w:lineRule="exact"/>
        <w:rPr>
          <w:sz w:val="20"/>
          <w:szCs w:val="20"/>
          <w:color w:val="auto"/>
        </w:rPr>
      </w:pPr>
    </w:p>
    <w:p>
      <w:pPr>
        <w:ind w:firstLine="318"/>
        <w:spacing w:after="0" w:line="270" w:lineRule="auto"/>
        <w:rPr>
          <w:sz w:val="20"/>
          <w:szCs w:val="20"/>
          <w:color w:val="auto"/>
        </w:rPr>
      </w:pPr>
      <w:r>
        <w:rPr>
          <w:rFonts w:ascii="Arial" w:cs="Arial" w:eastAsia="Arial" w:hAnsi="Arial"/>
          <w:sz w:val="18"/>
          <w:szCs w:val="18"/>
          <w:i w:val="1"/>
          <w:iCs w:val="1"/>
          <w:color w:val="auto"/>
        </w:rPr>
        <w:t xml:space="preserve">The following discussion contains forward-looking statements that involve risks and uncertainties. Our actual results may differ materially from those discussed in the forward-looking statements as a result of various factors, including those set forth in Part I, Item 1A, Risk Factors, of our 2024 10-K and Part II, </w:t>
      </w:r>
      <w:r>
        <w:rPr>
          <w:rFonts w:ascii="Arial" w:cs="Arial" w:eastAsia="Arial" w:hAnsi="Arial"/>
          <w:sz w:val="18"/>
          <w:szCs w:val="18"/>
          <w:i w:val="1"/>
          <w:iCs w:val="1"/>
          <w:u w:val="single" w:color="auto"/>
          <w:color w:val="0000FF"/>
        </w:rPr>
        <w:t>Item 1A</w:t>
      </w:r>
      <w:r>
        <w:rPr>
          <w:rFonts w:ascii="Arial" w:cs="Arial" w:eastAsia="Arial" w:hAnsi="Arial"/>
          <w:sz w:val="18"/>
          <w:szCs w:val="18"/>
          <w:i w:val="1"/>
          <w:iCs w:val="1"/>
          <w:color w:val="auto"/>
        </w:rPr>
        <w:t xml:space="preserve">. Risk Factors, and </w:t>
      </w:r>
      <w:r>
        <w:rPr>
          <w:rFonts w:ascii="Arial" w:cs="Arial" w:eastAsia="Arial" w:hAnsi="Arial"/>
          <w:sz w:val="18"/>
          <w:szCs w:val="18"/>
          <w:i w:val="1"/>
          <w:iCs w:val="1"/>
          <w:u w:val="single" w:color="auto"/>
          <w:color w:val="0000FF"/>
        </w:rPr>
        <w:t>Note Regarding Forward-Looking Statements</w:t>
      </w:r>
      <w:r>
        <w:rPr>
          <w:rFonts w:ascii="Arial" w:cs="Arial" w:eastAsia="Arial" w:hAnsi="Arial"/>
          <w:sz w:val="18"/>
          <w:szCs w:val="18"/>
          <w:i w:val="1"/>
          <w:iCs w:val="1"/>
          <w:color w:val="auto"/>
        </w:rPr>
        <w:t xml:space="preserve"> included elsewhere in this report and those discussed in other documents we file from time to time with the SEC. The following discussion and analysis of our financial condition and results of operations should be read in conjunction with our unaudited condensed consolidated financial statements and related notes and other financial information included in this quarterly report and our audited consolidated financial statements and related notes included in our 2024 10-K. Our historical results are not necessarily indicative of the results to be expected for any future periods and our operating results for the three months ended March 29, 2025 are not necessarily indicative of the results to be expected for the fiscal year ending December 31, 2025 or for any other interim period or for any other future year or period.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9" w:lineRule="exact"/>
        <w:rPr>
          <w:sz w:val="20"/>
          <w:szCs w:val="20"/>
          <w:color w:val="auto"/>
        </w:rPr>
      </w:pPr>
    </w:p>
    <w:p>
      <w:pPr>
        <w:ind w:firstLine="318"/>
        <w:spacing w:after="0" w:line="273" w:lineRule="auto"/>
        <w:rPr>
          <w:sz w:val="20"/>
          <w:szCs w:val="20"/>
          <w:color w:val="auto"/>
        </w:rPr>
      </w:pPr>
      <w:r>
        <w:rPr>
          <w:rFonts w:ascii="Arial" w:cs="Arial" w:eastAsia="Arial" w:hAnsi="Arial"/>
          <w:sz w:val="18"/>
          <w:szCs w:val="18"/>
          <w:color w:val="auto"/>
        </w:rPr>
        <w:t>Beyond Meat is a leading plant-based meat company, offering a portfolio of revolutionary plant-based meats. We build meat directly from plants, an innovation that enables consumers to experience the taste, texture and other sensory attributes of popular animal-based meat products while enjoying the nutritional and environmental benefits of eating our plant-based meat products. Our brand promise, “Eat What You Love,” represents a strong belief that there is a better way to feed our future and that the positive choices we all make, no matter how small, can have a great impact on our personal health and the health of our planet. By shifting from animal-based meat to plant-based meat, we can positively impact four growing global issues: human health, climate change, constraints on natural resources and animal welfare.</w:t>
      </w:r>
    </w:p>
    <w:p>
      <w:pPr>
        <w:spacing w:after="0" w:line="124" w:lineRule="exact"/>
        <w:rPr>
          <w:sz w:val="20"/>
          <w:szCs w:val="20"/>
          <w:color w:val="auto"/>
        </w:rPr>
      </w:pPr>
    </w:p>
    <w:p>
      <w:pPr>
        <w:jc w:val="both"/>
        <w:ind w:right="280" w:firstLine="318"/>
        <w:spacing w:after="0" w:line="283" w:lineRule="auto"/>
        <w:rPr>
          <w:sz w:val="20"/>
          <w:szCs w:val="20"/>
          <w:color w:val="auto"/>
        </w:rPr>
      </w:pPr>
      <w:r>
        <w:rPr>
          <w:rFonts w:ascii="Arial" w:cs="Arial" w:eastAsia="Arial" w:hAnsi="Arial"/>
          <w:sz w:val="18"/>
          <w:szCs w:val="18"/>
          <w:color w:val="auto"/>
        </w:rPr>
        <w:t>We sell a range of plant-based meat products across our three core platforms of beef, pork and poultry. As of March 2025, Beyond Meat branded products were available across mainstream grocery, mass merchandiser, club store and natural retailer channels, and various food-away-from-home channels, including restaurants, foodservice outlets and schools.</w:t>
      </w:r>
    </w:p>
    <w:p>
      <w:pPr>
        <w:spacing w:after="0" w:line="116" w:lineRule="exact"/>
        <w:rPr>
          <w:sz w:val="20"/>
          <w:szCs w:val="20"/>
          <w:color w:val="auto"/>
        </w:rPr>
      </w:pPr>
    </w:p>
    <w:p>
      <w:pPr>
        <w:ind w:firstLine="318"/>
        <w:spacing w:after="0" w:line="268" w:lineRule="auto"/>
        <w:rPr>
          <w:sz w:val="20"/>
          <w:szCs w:val="20"/>
          <w:color w:val="auto"/>
        </w:rPr>
      </w:pPr>
      <w:r>
        <w:rPr>
          <w:rFonts w:ascii="Arial" w:cs="Arial" w:eastAsia="Arial" w:hAnsi="Arial"/>
          <w:sz w:val="18"/>
          <w:szCs w:val="18"/>
          <w:color w:val="auto"/>
        </w:rPr>
        <w:t>Net revenues decreased to $68.7 million in the three months ended March 29, 2025 from $75.6 million in the three months ended March 30, 2024, representing a 9.1% decrease. We have generated losses since inception. Net loss in the three months ended March 29, 2025 and March 30, 2024 was $52.9 million and $54.4 million, respectively, as weak demand in the category and for our products, changes in product sales mix and distribution losses in certain channels, among other things, resulted in declines in our net revenues that we were unable to offset with commensurate cost reductions. Our operating environment continues to be affected by uncertainty related to macroeconomic issues, including ongoing, further weakened demand in the plant-based meat category and for our products, inflation, higher interest rates, current and proposed future tariffs and related trade wars, increased uncertainty surrounding international trade policy and regulations, including through the implementation of retaliatory tariffs or related counter-measures and the negative effects of anti-American sentiment, and potential recessionary concerns, among other things, all of which have had and could continue to have unforeseen impacts on our actual realized results. In recent periods, our net revenues, gross profit, gross margin, earnings and cash flows have been adversely impacted by the following, each of which may continue to impact our business and financial condition in the future:</w:t>
      </w:r>
    </w:p>
    <w:p>
      <w:pPr>
        <w:spacing w:after="0" w:line="134" w:lineRule="exact"/>
        <w:rPr>
          <w:sz w:val="20"/>
          <w:szCs w:val="20"/>
          <w:color w:val="auto"/>
        </w:rPr>
      </w:pPr>
    </w:p>
    <w:p>
      <w:pPr>
        <w:ind w:left="640" w:right="60" w:hanging="316"/>
        <w:spacing w:after="0" w:line="267"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unfavorable changes in our product sales mix, including the launch of new products, which may carry lower margin profiles relative to existing products, increased sales generally carrying a lower selling price per pound as a percentage of our total sales to strategic QSR customers, and lower demand for our core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14" w:lineRule="exact"/>
        <w:rPr>
          <w:sz w:val="20"/>
          <w:szCs w:val="20"/>
          <w:color w:val="auto"/>
        </w:rPr>
      </w:pPr>
    </w:p>
    <w:p>
      <w:pPr>
        <w:ind w:left="640" w:right="220" w:hanging="316"/>
        <w:spacing w:after="0" w:line="290"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continued weak demand and its resultant impact on our sales due to slower category growth, particularly for refrigerated plant-based meat;</w:t>
      </w:r>
    </w:p>
    <w:p>
      <w:pPr>
        <w:spacing w:after="0" w:line="96" w:lineRule="exact"/>
        <w:rPr>
          <w:rFonts w:ascii="Arial" w:cs="Arial" w:eastAsia="Arial" w:hAnsi="Arial"/>
          <w:sz w:val="18"/>
          <w:szCs w:val="18"/>
          <w:color w:val="auto"/>
        </w:rPr>
      </w:pPr>
    </w:p>
    <w:p>
      <w:pPr>
        <w:ind w:left="640" w:right="40" w:hanging="316"/>
        <w:spacing w:after="0" w:line="275"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economic and political conditions in the U.S. and international markets, including high inflation, geopolitical uncertainty, economic volatility, a potential recession in the United States and tariffs and trade wars, and the resulting effects of those conditions on consumer spending;</w:t>
      </w:r>
    </w:p>
    <w:p>
      <w:pPr>
        <w:spacing w:after="0" w:line="109"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unfavorable changes in consumers’ perceptions about the health attributes of plant-based meats and increased competitive activity;</w:t>
      </w:r>
    </w:p>
    <w:p>
      <w:pPr>
        <w:spacing w:after="0" w:line="177" w:lineRule="exact"/>
        <w:rPr>
          <w:rFonts w:ascii="Arial" w:cs="Arial" w:eastAsia="Arial" w:hAnsi="Arial"/>
          <w:sz w:val="18"/>
          <w:szCs w:val="18"/>
          <w:color w:val="auto"/>
        </w:rPr>
      </w:pPr>
    </w:p>
    <w:p>
      <w:pPr>
        <w:ind w:left="640" w:right="400" w:hanging="316"/>
        <w:spacing w:after="0" w:line="290"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deceleration of the adoption of plant-based meat across Europe and our ability to successfully launch extended shelf-life products, which could negatively impact our ability to expand distribution of our products;</w:t>
      </w:r>
    </w:p>
    <w:p>
      <w:pPr>
        <w:spacing w:after="0" w:line="96" w:lineRule="exact"/>
        <w:rPr>
          <w:rFonts w:ascii="Arial" w:cs="Arial" w:eastAsia="Arial" w:hAnsi="Arial"/>
          <w:sz w:val="18"/>
          <w:szCs w:val="18"/>
          <w:color w:val="auto"/>
        </w:rPr>
      </w:pPr>
    </w:p>
    <w:p>
      <w:pPr>
        <w:ind w:left="640" w:right="60" w:hanging="316"/>
        <w:spacing w:after="0" w:line="275"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impact of the plant-based meat sector’s premium pricing relative to animal protein, which has caused and could continue to cause consumers to avoid plant-based meat or trade down into cheaper forms of protein, including animal meat, beans and other non-animal meat protein sources;</w:t>
      </w:r>
    </w:p>
    <w:p>
      <w:pPr>
        <w:spacing w:after="0" w:line="109" w:lineRule="exact"/>
        <w:rPr>
          <w:rFonts w:ascii="Arial" w:cs="Arial" w:eastAsia="Arial" w:hAnsi="Arial"/>
          <w:sz w:val="18"/>
          <w:szCs w:val="18"/>
          <w:color w:val="auto"/>
        </w:rPr>
      </w:pPr>
    </w:p>
    <w:p>
      <w:pPr>
        <w:ind w:left="640" w:right="20" w:hanging="316"/>
        <w:spacing w:after="0" w:line="264"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negative impacts on capacity utilization as a result of lower than anticipated demand and, therefore, production volumes, which have in the past and could in the future give rise to increased cost of goods sold per pound, underutilization fees, termination fees and other costs to exit certain supply chain arrangements and product lines, and/or the write-down or write-off of certain equipment and other fixed assets and impairment charges, all of which could negatively impact gross margin, driving less leverage on fixed costs and delaying the speed at which cost savings initiatives positively impact our financial results;</w:t>
      </w:r>
    </w:p>
    <w:p>
      <w:pPr>
        <w:spacing w:after="0" w:line="133"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forecasted demand, including for our core products—namely Beyond Burger, Beyond Beef, Beyond Chicken, Beyond Steak and Beyond Sausage—and others;</w:t>
      </w:r>
    </w:p>
    <w:p>
      <w:pPr>
        <w:spacing w:after="0" w:line="123" w:lineRule="exact"/>
        <w:rPr>
          <w:rFonts w:ascii="Arial" w:cs="Arial" w:eastAsia="Arial" w:hAnsi="Arial"/>
          <w:sz w:val="18"/>
          <w:szCs w:val="18"/>
          <w:color w:val="auto"/>
        </w:rPr>
      </w:pPr>
    </w:p>
    <w:p>
      <w:pPr>
        <w:ind w:left="640" w:right="580" w:hanging="316"/>
        <w:spacing w:after="0" w:line="274"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managing inventory levels, including sales to liquidation channels at lower prices, write-down or write-off of excess and obsolete inventory, or increase in inventory provision;</w:t>
      </w:r>
    </w:p>
    <w:p>
      <w:pPr>
        <w:spacing w:after="0" w:line="123" w:lineRule="exact"/>
        <w:rPr>
          <w:rFonts w:ascii="Arial" w:cs="Arial" w:eastAsia="Arial" w:hAnsi="Arial"/>
          <w:sz w:val="18"/>
          <w:szCs w:val="18"/>
          <w:color w:val="auto"/>
        </w:rPr>
      </w:pPr>
    </w:p>
    <w:p>
      <w:pPr>
        <w:ind w:left="640" w:right="40" w:hanging="316"/>
        <w:spacing w:after="0" w:line="267"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our pricing strategy, including actions intended to improve our price competitiveness relative to competing products or to improve profitability, such as price increases of certain of our products in our U.S. retail and foodservice channels that we implemented in 2024;</w:t>
      </w:r>
    </w:p>
    <w:p>
      <w:pPr>
        <w:spacing w:after="0" w:line="130" w:lineRule="exact"/>
        <w:rPr>
          <w:rFonts w:ascii="Arial" w:cs="Arial" w:eastAsia="Arial" w:hAnsi="Arial"/>
          <w:sz w:val="18"/>
          <w:szCs w:val="18"/>
          <w:color w:val="auto"/>
        </w:rPr>
      </w:pPr>
    </w:p>
    <w:p>
      <w:pPr>
        <w:ind w:left="640" w:right="200" w:hanging="316"/>
        <w:spacing w:after="0" w:line="290"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unit cost of goods sold due to input cost inflation, including higher transportation, storage, raw materials, energy, labor and supply chain costs;</w:t>
      </w:r>
    </w:p>
    <w:p>
      <w:pPr>
        <w:spacing w:after="0" w:line="96" w:lineRule="exact"/>
        <w:rPr>
          <w:rFonts w:ascii="Arial" w:cs="Arial" w:eastAsia="Arial" w:hAnsi="Arial"/>
          <w:sz w:val="18"/>
          <w:szCs w:val="18"/>
          <w:color w:val="auto"/>
        </w:rPr>
      </w:pPr>
    </w:p>
    <w:p>
      <w:pPr>
        <w:ind w:left="640" w:right="600" w:hanging="316"/>
        <w:spacing w:after="0" w:line="290"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disruption to our supply chain generally caused by distribution and other logistical issues, including the impact of cyber incidents at suppliers and vendors; and</w:t>
      </w:r>
    </w:p>
    <w:p>
      <w:pPr>
        <w:spacing w:after="0" w:line="109"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labor needs at the Company as well as in the supply chain and at customers.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Cost-Reduction Initiatives and Global Operations Review</w:t>
      </w:r>
    </w:p>
    <w:p>
      <w:pPr>
        <w:spacing w:after="0" w:line="259" w:lineRule="exact"/>
        <w:rPr>
          <w:sz w:val="20"/>
          <w:szCs w:val="20"/>
          <w:color w:val="auto"/>
        </w:rPr>
      </w:pPr>
    </w:p>
    <w:p>
      <w:pPr>
        <w:ind w:right="100" w:firstLine="318"/>
        <w:spacing w:after="0" w:line="272" w:lineRule="auto"/>
        <w:rPr>
          <w:sz w:val="20"/>
          <w:szCs w:val="20"/>
          <w:color w:val="auto"/>
        </w:rPr>
      </w:pPr>
      <w:r>
        <w:rPr>
          <w:rFonts w:ascii="Arial" w:cs="Arial" w:eastAsia="Arial" w:hAnsi="Arial"/>
          <w:sz w:val="18"/>
          <w:szCs w:val="18"/>
          <w:color w:val="auto"/>
        </w:rPr>
        <w:t>In response to the difficult environment and the negative impact of certain factors on our business and the overall plant-based meat category, beginning in 2022 we pivoted our focus toward sustainable long-term growth supported by three pillars: (1) driving margin recovery and operating expense reduction through the implementation of lean value streams across our beef, pork and poultry platforms; (2) inventory reduction and cash flow generation through more efficient inventory management; and (3) focusing on near-term retail and foodservice growth drivers while supporting key strategic long-term partners and opportunities.</w:t>
      </w:r>
    </w:p>
    <w:p>
      <w:pPr>
        <w:spacing w:after="0" w:line="126" w:lineRule="exact"/>
        <w:rPr>
          <w:sz w:val="20"/>
          <w:szCs w:val="20"/>
          <w:color w:val="auto"/>
        </w:rPr>
      </w:pPr>
    </w:p>
    <w:p>
      <w:pPr>
        <w:ind w:right="260" w:firstLine="318"/>
        <w:spacing w:after="0" w:line="305" w:lineRule="auto"/>
        <w:rPr>
          <w:sz w:val="20"/>
          <w:szCs w:val="20"/>
          <w:color w:val="auto"/>
        </w:rPr>
      </w:pPr>
      <w:r>
        <w:rPr>
          <w:rFonts w:ascii="Arial" w:cs="Arial" w:eastAsia="Arial" w:hAnsi="Arial"/>
          <w:sz w:val="18"/>
          <w:szCs w:val="18"/>
          <w:color w:val="auto"/>
        </w:rPr>
        <w:t>To reduce operating expenses, in November 2023, we initiated our Global Operations Review, which involves narrowing our commercial focus to certain anticipated growth opportunities, and accelerating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8" w:name="page49"/>
    <w:bookmarkEnd w:id="48"/>
    <w:p>
      <w:pPr>
        <w:spacing w:after="0" w:line="127" w:lineRule="exact"/>
        <w:rPr>
          <w:sz w:val="20"/>
          <w:szCs w:val="20"/>
          <w:color w:val="auto"/>
        </w:rPr>
      </w:pPr>
    </w:p>
    <w:p>
      <w:pPr>
        <w:ind w:right="160"/>
        <w:spacing w:after="0" w:line="273" w:lineRule="auto"/>
        <w:rPr>
          <w:sz w:val="20"/>
          <w:szCs w:val="20"/>
          <w:color w:val="auto"/>
        </w:rPr>
      </w:pPr>
      <w:r>
        <w:rPr>
          <w:rFonts w:ascii="Arial" w:cs="Arial" w:eastAsia="Arial" w:hAnsi="Arial"/>
          <w:sz w:val="18"/>
          <w:szCs w:val="18"/>
          <w:color w:val="auto"/>
        </w:rPr>
        <w:t>that prioritize gross margin expansion and cash generation. These efforts have to date included, and may in the future include, the exit or discontinuation of select product lines such as Beyond Meat Jerky; changes to our pricing architecture within certain channels; cash-accretive inventory reduction initiatives; non-cash charges such as provision for excess and obsolete inventory and potential additional impairment charges, write-offs, disposals and accelerated depreciation of fixed assets, and losses on sale and write-down of fixed assets; further optimization of our manufacturing capacity and real estate footprint; planned and future reductions in our workforce; and the suspension of our operational activities in China in the first quarter of 2025.</w:t>
      </w:r>
    </w:p>
    <w:p>
      <w:pPr>
        <w:spacing w:after="0" w:line="124" w:lineRule="exact"/>
        <w:rPr>
          <w:sz w:val="20"/>
          <w:szCs w:val="20"/>
          <w:color w:val="auto"/>
        </w:rPr>
      </w:pPr>
    </w:p>
    <w:p>
      <w:pPr>
        <w:ind w:right="640" w:firstLine="318"/>
        <w:spacing w:after="0" w:line="321" w:lineRule="auto"/>
        <w:rPr>
          <w:sz w:val="20"/>
          <w:szCs w:val="20"/>
          <w:color w:val="auto"/>
        </w:rPr>
      </w:pPr>
      <w:r>
        <w:rPr>
          <w:rFonts w:ascii="Arial" w:cs="Arial" w:eastAsia="Arial" w:hAnsi="Arial"/>
          <w:sz w:val="17"/>
          <w:szCs w:val="17"/>
          <w:color w:val="auto"/>
        </w:rPr>
        <w:t>As part of this review, on November 1, 2023, our board of directors approved a plan to reduce our workforce by approximately 65 employees, representing approximately 19% of our global non-production workforce (or approximately 8% of our total global workforce).</w:t>
      </w:r>
    </w:p>
    <w:p>
      <w:pPr>
        <w:spacing w:after="0" w:line="100" w:lineRule="exact"/>
        <w:rPr>
          <w:sz w:val="20"/>
          <w:szCs w:val="20"/>
          <w:color w:val="auto"/>
        </w:rPr>
      </w:pPr>
    </w:p>
    <w:p>
      <w:pPr>
        <w:jc w:val="both"/>
        <w:ind w:right="260" w:firstLine="318"/>
        <w:spacing w:after="0" w:line="275" w:lineRule="auto"/>
        <w:rPr>
          <w:sz w:val="20"/>
          <w:szCs w:val="20"/>
          <w:color w:val="auto"/>
        </w:rPr>
      </w:pPr>
      <w:r>
        <w:rPr>
          <w:rFonts w:ascii="Arial" w:cs="Arial" w:eastAsia="Arial" w:hAnsi="Arial"/>
          <w:sz w:val="18"/>
          <w:szCs w:val="18"/>
          <w:color w:val="auto"/>
        </w:rPr>
        <w:t>On February 24, 2025, our board of directors approved a plan to reduce our workforce in North America and the EU by approximately 44 employees, representing approximately 17% of our global non-production workforce (or approximately 6% of our total global workforce) (the “2025 RIF”). The decision was based on cost-reduction initiatives intended to reduce operating expenses.</w:t>
      </w:r>
    </w:p>
    <w:p>
      <w:pPr>
        <w:spacing w:after="0" w:line="136" w:lineRule="exact"/>
        <w:rPr>
          <w:sz w:val="20"/>
          <w:szCs w:val="20"/>
          <w:color w:val="auto"/>
        </w:rPr>
      </w:pPr>
    </w:p>
    <w:p>
      <w:pPr>
        <w:ind w:right="100" w:firstLine="318"/>
        <w:spacing w:after="0" w:line="275" w:lineRule="auto"/>
        <w:rPr>
          <w:sz w:val="20"/>
          <w:szCs w:val="20"/>
          <w:color w:val="auto"/>
        </w:rPr>
      </w:pPr>
      <w:r>
        <w:rPr>
          <w:rFonts w:ascii="Arial" w:cs="Arial" w:eastAsia="Arial" w:hAnsi="Arial"/>
          <w:sz w:val="18"/>
          <w:szCs w:val="18"/>
          <w:color w:val="auto"/>
        </w:rPr>
        <w:t>In addition, as part of our Global Operations Review, on February 24, 2025, our board of directors approved a plan to suspend our operational activities in China, which are estimated to cease by the end of the second quarter of 2025. As part of this plan, we are reducing our workforce in China by approximately 20 employees, representing approximately 95% of our China workforce (or approximately 3% of our total global workforce) (the “China RIF”). The decision was based on cost-reduction initiatives intended to reduce operating expenses.</w:t>
      </w:r>
    </w:p>
    <w:p>
      <w:pPr>
        <w:spacing w:after="0" w:line="125" w:lineRule="exact"/>
        <w:rPr>
          <w:sz w:val="20"/>
          <w:szCs w:val="20"/>
          <w:color w:val="auto"/>
        </w:rPr>
      </w:pPr>
    </w:p>
    <w:p>
      <w:pPr>
        <w:ind w:right="40" w:firstLine="318"/>
        <w:spacing w:after="0" w:line="290" w:lineRule="auto"/>
        <w:rPr>
          <w:sz w:val="20"/>
          <w:szCs w:val="20"/>
          <w:color w:val="auto"/>
        </w:rPr>
      </w:pPr>
      <w:r>
        <w:rPr>
          <w:rFonts w:ascii="Arial" w:cs="Arial" w:eastAsia="Arial" w:hAnsi="Arial"/>
          <w:sz w:val="18"/>
          <w:szCs w:val="18"/>
          <w:color w:val="auto"/>
        </w:rPr>
        <w:t>The following table summarizes the non-cash charges recorded in our condensed consolidated statement of operations in the three months ended March 29, 2025 as part of the suspension of our operational activities in China:</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0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(in thousands)</w:t>
            </w:r>
          </w:p>
        </w:tc>
        <w:tc>
          <w:tcPr>
            <w:tcW w:w="220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 Months Ended March</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760" w:type="dxa"/>
            <w:vAlign w:val="bottom"/>
          </w:tcPr>
          <w:p>
            <w:pPr>
              <w:jc w:val="right"/>
              <w:ind w:right="713"/>
              <w:spacing w:after="0" w:line="172" w:lineRule="exact"/>
              <w:rPr>
                <w:sz w:val="20"/>
                <w:szCs w:val="20"/>
                <w:color w:val="auto"/>
              </w:rPr>
            </w:pPr>
            <w:r>
              <w:rPr>
                <w:rFonts w:ascii="Arial" w:cs="Arial" w:eastAsia="Arial" w:hAnsi="Arial"/>
                <w:sz w:val="16"/>
                <w:szCs w:val="16"/>
                <w:b w:val="1"/>
                <w:bCs w:val="1"/>
                <w:color w:val="auto"/>
              </w:rPr>
              <w:t>29, 2025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79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900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color w:val="auto"/>
              </w:rPr>
              <w:t>Cost of goods sold:</w:t>
            </w:r>
          </w:p>
        </w:tc>
        <w:tc>
          <w:tcPr>
            <w:tcW w:w="4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000" w:type="dxa"/>
            <w:vAlign w:val="bottom"/>
            <w:gridSpan w:val="2"/>
          </w:tcPr>
          <w:p>
            <w:pPr>
              <w:ind w:left="160"/>
              <w:spacing w:after="0"/>
              <w:rPr>
                <w:sz w:val="20"/>
                <w:szCs w:val="20"/>
                <w:color w:val="auto"/>
              </w:rPr>
            </w:pPr>
            <w:r>
              <w:rPr>
                <w:rFonts w:ascii="Arial" w:cs="Arial" w:eastAsia="Arial" w:hAnsi="Arial"/>
                <w:sz w:val="18"/>
                <w:szCs w:val="18"/>
                <w:color w:val="auto"/>
              </w:rPr>
              <w:t>Inventory write-offs</w:t>
            </w:r>
          </w:p>
        </w:tc>
        <w:tc>
          <w:tcPr>
            <w:tcW w:w="440" w:type="dxa"/>
            <w:vAlign w:val="bottom"/>
          </w:tcPr>
          <w:p>
            <w:pPr>
              <w:jc w:val="right"/>
              <w:ind w:right="235"/>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9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Accelerated depreciation</w:t>
            </w:r>
          </w:p>
        </w:tc>
        <w:tc>
          <w:tcPr>
            <w:tcW w:w="4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4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9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Accelerated depreciation</w:t>
            </w:r>
          </w:p>
        </w:tc>
        <w:tc>
          <w:tcPr>
            <w:tcW w:w="44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SG&amp;A</w:t>
            </w:r>
          </w:p>
        </w:tc>
        <w:tc>
          <w:tcPr>
            <w:tcW w:w="4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9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Asset write-offs</w:t>
            </w:r>
          </w:p>
        </w:tc>
        <w:tc>
          <w:tcPr>
            <w:tcW w:w="4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right="120" w:firstLine="318"/>
        <w:spacing w:after="0" w:line="276" w:lineRule="auto"/>
        <w:rPr>
          <w:sz w:val="20"/>
          <w:szCs w:val="20"/>
          <w:color w:val="auto"/>
        </w:rPr>
      </w:pPr>
      <w:r>
        <w:rPr>
          <w:rFonts w:ascii="Arial" w:cs="Arial" w:eastAsia="Arial" w:hAnsi="Arial"/>
          <w:sz w:val="18"/>
          <w:szCs w:val="18"/>
          <w:color w:val="auto"/>
        </w:rPr>
        <w:t xml:space="preserve">We may not be able to fully realize the cost savings and benefits initially anticipated from our cost-reduction initiatives and Global Operations Review, and the realized costs may be greater than expected. For additional information see </w:t>
      </w:r>
      <w:r>
        <w:rPr>
          <w:rFonts w:ascii="Arial" w:cs="Arial" w:eastAsia="Arial" w:hAnsi="Arial"/>
          <w:sz w:val="18"/>
          <w:szCs w:val="18"/>
          <w:i w:val="1"/>
          <w:iCs w:val="1"/>
          <w:color w:val="auto"/>
        </w:rPr>
        <w:t>Risk Factors—Risks Related to Our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Business—Our strategic initiatives to improve our cost structure could have long-term adverse effects on our business, and we may not realize the operational or financial benefits from such actions, including achieving and/or sustaining our profitability and financial performance objectives </w:t>
      </w:r>
      <w:r>
        <w:rPr>
          <w:rFonts w:ascii="Arial" w:cs="Arial" w:eastAsia="Arial" w:hAnsi="Arial"/>
          <w:sz w:val="18"/>
          <w:szCs w:val="18"/>
          <w:color w:val="auto"/>
        </w:rPr>
        <w:t>in Part I, Item 1A,</w:t>
      </w:r>
      <w:r>
        <w:rPr>
          <w:rFonts w:ascii="Arial" w:cs="Arial" w:eastAsia="Arial" w:hAnsi="Arial"/>
          <w:sz w:val="18"/>
          <w:szCs w:val="18"/>
          <w:i w:val="1"/>
          <w:iCs w:val="1"/>
          <w:color w:val="auto"/>
        </w:rPr>
        <w:t xml:space="preserve"> Risk Factors, </w:t>
      </w:r>
      <w:r>
        <w:rPr>
          <w:rFonts w:ascii="Arial" w:cs="Arial" w:eastAsia="Arial" w:hAnsi="Arial"/>
          <w:sz w:val="18"/>
          <w:szCs w:val="18"/>
          <w:color w:val="auto"/>
        </w:rPr>
        <w:t>in our 2024 10-K.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 and Trends and Other Factors Affecting Our Business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Net Revenues</w:t>
      </w:r>
    </w:p>
    <w:p>
      <w:pPr>
        <w:spacing w:after="0" w:line="177" w:lineRule="exact"/>
        <w:rPr>
          <w:sz w:val="20"/>
          <w:szCs w:val="20"/>
          <w:color w:val="auto"/>
        </w:rPr>
      </w:pPr>
    </w:p>
    <w:p>
      <w:pPr>
        <w:jc w:val="both"/>
        <w:ind w:firstLine="318"/>
        <w:spacing w:after="0" w:line="283" w:lineRule="auto"/>
        <w:rPr>
          <w:sz w:val="20"/>
          <w:szCs w:val="20"/>
          <w:color w:val="auto"/>
        </w:rPr>
      </w:pPr>
      <w:r>
        <w:rPr>
          <w:rFonts w:ascii="Arial" w:cs="Arial" w:eastAsia="Arial" w:hAnsi="Arial"/>
          <w:sz w:val="18"/>
          <w:szCs w:val="18"/>
          <w:color w:val="auto"/>
        </w:rPr>
        <w:t>We generate net revenues primarily from sales of our products to our customers across mainstream grocery, mass merchandiser, club store and natural retailer channels, and various food-away-from-home channels, including restaurants, foodservice outlets and schools, mainly in the United States, the EU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27" w:lineRule="exact"/>
        <w:rPr>
          <w:sz w:val="20"/>
          <w:szCs w:val="20"/>
          <w:color w:val="auto"/>
        </w:rPr>
      </w:pPr>
    </w:p>
    <w:p>
      <w:pPr>
        <w:ind w:right="120"/>
        <w:spacing w:after="0" w:line="290" w:lineRule="auto"/>
        <w:rPr>
          <w:sz w:val="20"/>
          <w:szCs w:val="20"/>
          <w:color w:val="auto"/>
        </w:rPr>
      </w:pPr>
      <w:r>
        <w:rPr>
          <w:rFonts w:ascii="Arial" w:cs="Arial" w:eastAsia="Arial" w:hAnsi="Arial"/>
          <w:sz w:val="18"/>
          <w:szCs w:val="18"/>
          <w:color w:val="auto"/>
        </w:rPr>
        <w:t>Canada. Following the initiation of our Global Operations Review, in recent periods, as part of our effort to reduce excess or obsolete inventory and generate incremental cash, we have also generated net revenues from ingredient sales.</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present our net revenues by geography and distribution channel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Distribution Channel</w:t>
            </w:r>
          </w:p>
        </w:tc>
        <w:tc>
          <w:tcPr>
            <w:tcW w:w="160" w:type="dxa"/>
            <w:vAlign w:val="bottom"/>
            <w:tcBorders>
              <w:bottom w:val="single" w:sz="8" w:color="CCEEFF"/>
            </w:tcBorders>
          </w:tcPr>
          <w:p>
            <w:pPr>
              <w:spacing w:after="0"/>
              <w:rPr>
                <w:sz w:val="19"/>
                <w:szCs w:val="19"/>
                <w:color w:val="auto"/>
              </w:rPr>
            </w:pPr>
          </w:p>
        </w:tc>
        <w:tc>
          <w:tcPr>
            <w:tcW w:w="7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Description</w:t>
            </w:r>
          </w:p>
        </w:tc>
      </w:tr>
      <w:tr>
        <w:trPr>
          <w:trHeight w:val="292"/>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U.S. Retail</w:t>
            </w:r>
          </w:p>
        </w:tc>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 from retail sales to the U.S. market and, sales to TPP (as defined below)</w:t>
            </w:r>
            <w:r>
              <w:rPr>
                <w:rFonts w:ascii="Arial" w:cs="Arial" w:eastAsia="Arial" w:hAnsi="Arial"/>
                <w:sz w:val="20"/>
                <w:szCs w:val="20"/>
                <w:color w:val="auto"/>
                <w:vertAlign w:val="superscript"/>
              </w:rPr>
              <w:t>(1)</w:t>
            </w:r>
          </w:p>
        </w:tc>
      </w:tr>
      <w:tr>
        <w:trPr>
          <w:trHeight w:val="230"/>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U.S. Foodservice</w:t>
            </w:r>
          </w:p>
        </w:tc>
        <w:tc>
          <w:tcPr>
            <w:tcW w:w="7740" w:type="dxa"/>
            <w:vAlign w:val="bottom"/>
          </w:tcPr>
          <w:p>
            <w:pPr>
              <w:ind w:left="20"/>
              <w:spacing w:after="0"/>
              <w:rPr>
                <w:sz w:val="20"/>
                <w:szCs w:val="20"/>
                <w:color w:val="auto"/>
              </w:rPr>
            </w:pPr>
            <w:r>
              <w:rPr>
                <w:rFonts w:ascii="Arial" w:cs="Arial" w:eastAsia="Arial" w:hAnsi="Arial"/>
                <w:sz w:val="16"/>
                <w:szCs w:val="16"/>
                <w:color w:val="auto"/>
              </w:rPr>
              <w:t>Net revenues from restaurant and foodservice sales to the U.S. market</w:t>
            </w:r>
          </w:p>
        </w:tc>
      </w:tr>
      <w:tr>
        <w:trPr>
          <w:trHeight w:val="247"/>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International Retail</w:t>
            </w:r>
          </w:p>
        </w:tc>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 from retail sales to international markets, including Canada</w:t>
            </w:r>
          </w:p>
        </w:tc>
      </w:tr>
      <w:tr>
        <w:trPr>
          <w:trHeight w:val="222"/>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International Foodservice</w:t>
            </w:r>
          </w:p>
        </w:tc>
        <w:tc>
          <w:tcPr>
            <w:tcW w:w="7740" w:type="dxa"/>
            <w:vAlign w:val="bottom"/>
          </w:tcPr>
          <w:p>
            <w:pPr>
              <w:ind w:left="20"/>
              <w:spacing w:after="0"/>
              <w:rPr>
                <w:sz w:val="20"/>
                <w:szCs w:val="20"/>
                <w:color w:val="auto"/>
              </w:rPr>
            </w:pPr>
            <w:r>
              <w:rPr>
                <w:rFonts w:ascii="Arial" w:cs="Arial" w:eastAsia="Arial" w:hAnsi="Arial"/>
                <w:sz w:val="16"/>
                <w:szCs w:val="16"/>
                <w:color w:val="auto"/>
              </w:rPr>
              <w:t>Net revenues from restaurant and foodservice sales to international markets, including Canada</w:t>
            </w:r>
          </w:p>
        </w:tc>
      </w:tr>
      <w:tr>
        <w:trPr>
          <w:trHeight w:val="305"/>
        </w:trPr>
        <w:tc>
          <w:tcPr>
            <w:tcW w:w="3340" w:type="dxa"/>
            <w:vAlign w:val="bottom"/>
          </w:tcPr>
          <w:p>
            <w:pPr>
              <w:spacing w:after="0"/>
              <w:rPr>
                <w:sz w:val="20"/>
                <w:szCs w:val="20"/>
                <w:color w:val="auto"/>
              </w:rPr>
            </w:pPr>
            <w:r>
              <w:rPr>
                <w:rFonts w:ascii="Arial" w:cs="Arial" w:eastAsia="Arial" w:hAnsi="Arial"/>
                <w:sz w:val="16"/>
                <w:szCs w:val="16"/>
                <w:color w:val="auto"/>
              </w:rPr>
              <w:t>_____________</w:t>
            </w:r>
          </w:p>
        </w:tc>
        <w:tc>
          <w:tcPr>
            <w:tcW w:w="160" w:type="dxa"/>
            <w:vAlign w:val="bottom"/>
          </w:tcPr>
          <w:p>
            <w:pPr>
              <w:spacing w:after="0"/>
              <w:rPr>
                <w:sz w:val="24"/>
                <w:szCs w:val="24"/>
                <w:color w:val="auto"/>
              </w:rPr>
            </w:pPr>
          </w:p>
        </w:tc>
        <w:tc>
          <w:tcPr>
            <w:tcW w:w="7740" w:type="dxa"/>
            <w:vAlign w:val="bottom"/>
          </w:tcPr>
          <w:p>
            <w:pPr>
              <w:spacing w:after="0"/>
              <w:rPr>
                <w:sz w:val="24"/>
                <w:szCs w:val="24"/>
                <w:color w:val="auto"/>
              </w:rPr>
            </w:pPr>
          </w:p>
        </w:tc>
      </w:tr>
    </w:tbl>
    <w:p>
      <w:pPr>
        <w:spacing w:after="0" w:line="29" w:lineRule="exact"/>
        <w:rPr>
          <w:sz w:val="20"/>
          <w:szCs w:val="20"/>
          <w:color w:val="auto"/>
        </w:rPr>
      </w:pPr>
    </w:p>
    <w:p>
      <w:pPr>
        <w:ind w:left="320" w:right="400" w:hanging="314"/>
        <w:spacing w:after="0" w:line="275" w:lineRule="auto"/>
        <w:tabs>
          <w:tab w:leader="none" w:pos="315"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Includes net revenues from ingredient sales. Net revenues from ingredient sales in the three months ended March 29, 2025 and March 30, 2024 were $13,000 and $1.6 million, respectively.</w:t>
      </w:r>
    </w:p>
    <w:p>
      <w:pPr>
        <w:spacing w:after="0" w:line="318" w:lineRule="exact"/>
        <w:rPr>
          <w:sz w:val="20"/>
          <w:szCs w:val="20"/>
          <w:color w:val="auto"/>
        </w:rPr>
      </w:pPr>
    </w:p>
    <w:p>
      <w:pPr>
        <w:ind w:right="180" w:firstLine="318"/>
        <w:spacing w:after="0" w:line="290" w:lineRule="auto"/>
        <w:rPr>
          <w:sz w:val="20"/>
          <w:szCs w:val="20"/>
          <w:color w:val="auto"/>
        </w:rPr>
      </w:pPr>
      <w:r>
        <w:rPr>
          <w:rFonts w:ascii="Arial" w:cs="Arial" w:eastAsia="Arial" w:hAnsi="Arial"/>
          <w:sz w:val="18"/>
          <w:szCs w:val="18"/>
          <w:color w:val="auto"/>
        </w:rPr>
        <w:t>The following factors and trends in our business have driven net revenue generation in prior periods and are expected to be key drivers of net revenue generation over time, subject to the challenges discussed herein:</w:t>
      </w:r>
    </w:p>
    <w:p>
      <w:pPr>
        <w:spacing w:after="0" w:line="96" w:lineRule="exact"/>
        <w:rPr>
          <w:sz w:val="20"/>
          <w:szCs w:val="20"/>
          <w:color w:val="auto"/>
        </w:rPr>
      </w:pPr>
    </w:p>
    <w:p>
      <w:pPr>
        <w:ind w:left="640" w:right="40" w:hanging="316"/>
        <w:spacing w:after="0" w:line="265"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penetration across our retail channel, including mainstream grocery, mass merchandiser, club store and natural retailer channels, and our foodservice channel, including increased desire by colleges and schools, foodservice establishments, including large Full Service Restaurant and/or global QSR customers, to add plant-based products to their menus and to highlight and retain these offerings;</w:t>
      </w:r>
    </w:p>
    <w:p>
      <w:pPr>
        <w:spacing w:after="0" w:line="132"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strength and breadth of our partnerships with global QSR restaurants and retail and foodservice customers;</w:t>
      </w:r>
    </w:p>
    <w:p>
      <w:pPr>
        <w:spacing w:after="0" w:line="177" w:lineRule="exact"/>
        <w:rPr>
          <w:rFonts w:ascii="Arial" w:cs="Arial" w:eastAsia="Arial" w:hAnsi="Arial"/>
          <w:sz w:val="18"/>
          <w:szCs w:val="18"/>
          <w:color w:val="auto"/>
        </w:rPr>
      </w:pPr>
    </w:p>
    <w:p>
      <w:pPr>
        <w:ind w:left="640" w:right="60" w:hanging="316"/>
        <w:spacing w:after="0" w:line="267"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success of our pivot to focus on sustainable long-term growth, including focusing on near-term retail and foodservice growth drivers while supporting key strategic long-term partners and opportunities, and intensifying focus on channels and geographies that are exhibiting revenue growth;</w:t>
      </w:r>
    </w:p>
    <w:p>
      <w:pPr>
        <w:spacing w:after="0" w:line="130" w:lineRule="exact"/>
        <w:rPr>
          <w:rFonts w:ascii="Arial" w:cs="Arial" w:eastAsia="Arial" w:hAnsi="Arial"/>
          <w:sz w:val="18"/>
          <w:szCs w:val="18"/>
          <w:color w:val="auto"/>
        </w:rPr>
      </w:pPr>
    </w:p>
    <w:p>
      <w:pPr>
        <w:ind w:left="640" w:right="200" w:hanging="316"/>
        <w:spacing w:after="0" w:line="267"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distribution expansion, increased sales velocity, household penetration, repeat purchases, buying rates (amount spent per buyer) and purchase frequency across our channels, including the success of promotional programs at attracting new users to the plant-based meat category;</w:t>
      </w:r>
    </w:p>
    <w:p>
      <w:pPr>
        <w:spacing w:after="0" w:line="130" w:lineRule="exact"/>
        <w:rPr>
          <w:rFonts w:ascii="Arial" w:cs="Arial" w:eastAsia="Arial" w:hAnsi="Arial"/>
          <w:sz w:val="18"/>
          <w:szCs w:val="18"/>
          <w:color w:val="auto"/>
        </w:rPr>
      </w:pPr>
    </w:p>
    <w:p>
      <w:pPr>
        <w:ind w:left="640" w:right="180" w:hanging="316"/>
        <w:spacing w:after="0" w:line="274"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international sales of our products across geographies, markets and channels as we seek to expand the breadth and depth of our international distribution and grow our numbers of international customers;</w:t>
      </w:r>
    </w:p>
    <w:p>
      <w:pPr>
        <w:spacing w:after="0" w:line="123"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operational effectiveness and ability to fulfill orders in full and on time;</w:t>
      </w:r>
    </w:p>
    <w:p>
      <w:pPr>
        <w:spacing w:after="0" w:line="177" w:lineRule="exact"/>
        <w:rPr>
          <w:rFonts w:ascii="Arial" w:cs="Arial" w:eastAsia="Arial" w:hAnsi="Arial"/>
          <w:sz w:val="18"/>
          <w:szCs w:val="18"/>
          <w:color w:val="auto"/>
        </w:rPr>
      </w:pPr>
    </w:p>
    <w:p>
      <w:pPr>
        <w:ind w:left="640" w:right="40" w:hanging="316"/>
        <w:spacing w:after="0" w:line="267"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continued innovation and product commercialization, including the introduction of new products and improvement of existing products, such as our Beyond IV generation of products, that appeal to a broad range of consumers, specifically those who typically eat animal-based meat;</w:t>
      </w:r>
    </w:p>
    <w:p>
      <w:pPr>
        <w:spacing w:after="0" w:line="130" w:lineRule="exact"/>
        <w:rPr>
          <w:rFonts w:ascii="Arial" w:cs="Arial" w:eastAsia="Arial" w:hAnsi="Arial"/>
          <w:sz w:val="18"/>
          <w:szCs w:val="18"/>
          <w:color w:val="auto"/>
        </w:rPr>
      </w:pPr>
    </w:p>
    <w:p>
      <w:pPr>
        <w:ind w:left="640" w:right="220" w:hanging="316"/>
        <w:spacing w:after="0" w:line="265"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enhanced marketing efforts and the success thereof, as we continue to build our brand, use our portfolio and marketing to directly counter misinformation about our products and the plant-based meat category, amplify our value proposition around taste, health and planet, serve as a best-in-class partner to both retail and foodservice customers to support product development and category management, and drive consumer adoption of our products;</w:t>
      </w:r>
    </w:p>
    <w:p>
      <w:pPr>
        <w:spacing w:after="0" w:line="119" w:lineRule="exact"/>
        <w:rPr>
          <w:rFonts w:ascii="Arial" w:cs="Arial" w:eastAsia="Arial" w:hAnsi="Arial"/>
          <w:sz w:val="18"/>
          <w:szCs w:val="18"/>
          <w:color w:val="auto"/>
        </w:rPr>
      </w:pPr>
    </w:p>
    <w:p>
      <w:pPr>
        <w:ind w:left="640" w:hanging="316"/>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investment in in-store execution and field resources focused on shelf availability and presentation to drive increased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14" w:lineRule="exact"/>
        <w:rPr>
          <w:sz w:val="20"/>
          <w:szCs w:val="20"/>
          <w:color w:val="auto"/>
        </w:rPr>
      </w:pPr>
    </w:p>
    <w:p>
      <w:pPr>
        <w:ind w:left="640" w:hanging="31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overall market trends, including consumer awareness and demand for nutritious, convenient and high protein plant-based foods; and</w:t>
      </w:r>
    </w:p>
    <w:p>
      <w:pPr>
        <w:spacing w:after="0" w:line="177" w:lineRule="exact"/>
        <w:rPr>
          <w:rFonts w:ascii="Arial" w:cs="Arial" w:eastAsia="Arial" w:hAnsi="Arial"/>
          <w:sz w:val="18"/>
          <w:szCs w:val="18"/>
          <w:color w:val="auto"/>
        </w:rPr>
      </w:pPr>
    </w:p>
    <w:p>
      <w:pPr>
        <w:ind w:left="640" w:right="80" w:hanging="316"/>
        <w:spacing w:after="0" w:line="274"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localized production and third-party partnerships to improve our cost of production and increase the availability, accessibility and speed with which we can get our products to customers internationally.</w:t>
      </w:r>
    </w:p>
    <w:p>
      <w:pPr>
        <w:spacing w:after="0" w:line="137" w:lineRule="exact"/>
        <w:rPr>
          <w:sz w:val="20"/>
          <w:szCs w:val="20"/>
          <w:color w:val="auto"/>
        </w:rPr>
      </w:pPr>
    </w:p>
    <w:p>
      <w:pPr>
        <w:ind w:right="300" w:firstLine="318"/>
        <w:spacing w:after="0" w:line="273" w:lineRule="auto"/>
        <w:rPr>
          <w:sz w:val="20"/>
          <w:szCs w:val="20"/>
          <w:color w:val="auto"/>
        </w:rPr>
      </w:pPr>
      <w:r>
        <w:rPr>
          <w:rFonts w:ascii="Arial" w:cs="Arial" w:eastAsia="Arial" w:hAnsi="Arial"/>
          <w:sz w:val="18"/>
          <w:szCs w:val="18"/>
          <w:color w:val="auto"/>
        </w:rPr>
        <w:t>As we seek to grow our net revenues, we continue to face several challenges, including prolonged, weakened demand within the plant-based meat category overall, broad macroeconomic headwinds, including elevated levels of inflation, high interest rates, waning consumer confidence and potential recessionary concerns in certain geographic regions, adverse changes in consumers’ perceptions about the health attributes of our products, increased competitive activity in the plant-based meat category, and global events such as the war in Ukraine, the conflict in Israel, Gaza and surrounding areas and tariff-related trade wars, as well as, their potential impact on availability of raw materials and/or distribution of our products.</w:t>
      </w:r>
    </w:p>
    <w:p>
      <w:pPr>
        <w:spacing w:after="0" w:line="124" w:lineRule="exact"/>
        <w:rPr>
          <w:sz w:val="20"/>
          <w:szCs w:val="20"/>
          <w:color w:val="auto"/>
        </w:rPr>
      </w:pPr>
    </w:p>
    <w:p>
      <w:pPr>
        <w:ind w:right="40" w:firstLine="318"/>
        <w:spacing w:after="0" w:line="270" w:lineRule="auto"/>
        <w:rPr>
          <w:sz w:val="20"/>
          <w:szCs w:val="20"/>
          <w:color w:val="auto"/>
        </w:rPr>
      </w:pPr>
      <w:r>
        <w:rPr>
          <w:rFonts w:ascii="Arial" w:cs="Arial" w:eastAsia="Arial" w:hAnsi="Arial"/>
          <w:sz w:val="18"/>
          <w:szCs w:val="18"/>
          <w:color w:val="auto"/>
        </w:rPr>
        <w:t>We routinely offer sales discounts and promotions through various programs to customers and consumers. These programs include rebates, temporary on-shelf price reductions, off-invoice discounts, retailer advertisements, product coupons and other trade activities. The expense associated with these discounts and promotions is estimated and recorded as a reduction in total gross revenues in order to arrive at reported net revenues. At the end of each accounting period, we recognize a contra asset to Accounts receivable for estimated sales discounts that have been incurred but not paid which totaled $3.8 million and $6.8 million as of March 29, 2025 and December 31, 2024, respectively. We continue to face increasing competition across all channels, and we expect that trend to continue, especially if consumers continue to trade down among proteins in the context of significant inflationary pressure. In response, we expect to continue to invest in promotional discounting to address the current consumer trend with more targeted key selling period activations that we expect will allow us to continue to build brand awareness and increase consumer trials of our products.</w:t>
      </w:r>
    </w:p>
    <w:p>
      <w:pPr>
        <w:spacing w:after="0" w:line="130" w:lineRule="exact"/>
        <w:rPr>
          <w:sz w:val="20"/>
          <w:szCs w:val="20"/>
          <w:color w:val="auto"/>
        </w:rPr>
      </w:pPr>
    </w:p>
    <w:p>
      <w:pPr>
        <w:ind w:right="200" w:firstLine="318"/>
        <w:spacing w:after="0" w:line="271" w:lineRule="auto"/>
        <w:rPr>
          <w:sz w:val="20"/>
          <w:szCs w:val="20"/>
          <w:color w:val="auto"/>
        </w:rPr>
      </w:pPr>
      <w:r>
        <w:rPr>
          <w:rFonts w:ascii="Arial" w:cs="Arial" w:eastAsia="Arial" w:hAnsi="Arial"/>
          <w:sz w:val="18"/>
          <w:szCs w:val="18"/>
          <w:color w:val="auto"/>
        </w:rPr>
        <w:t>In addition, because we do not have any purchase commitments from our distributors or customers, the amount of net revenues we recognize has varied and will vary in the future, from period to period depending on the volume, timing and channels through which our products are sold, and the impact of customer orders ahead of holidays, causing variability in our results. Similarly, the timing of retail shelf resets are not within our control, and to the extent that retail customers change the timing of such events, variability of our results may also increase. Lower customer orders ahead of holidays, shifts in customer shelf reset activity and changes in order patterns of one or more of our large retail customers could cause a significant fluctuation in our quarterly results and could have a disproportionate effect on our results of operations for the entire fiscal year.</w:t>
      </w:r>
    </w:p>
    <w:p>
      <w:pPr>
        <w:spacing w:after="0" w:line="126" w:lineRule="exact"/>
        <w:rPr>
          <w:sz w:val="20"/>
          <w:szCs w:val="20"/>
          <w:color w:val="auto"/>
        </w:rPr>
      </w:pPr>
    </w:p>
    <w:p>
      <w:pPr>
        <w:jc w:val="both"/>
        <w:ind w:right="300" w:firstLine="318"/>
        <w:spacing w:after="0" w:line="283" w:lineRule="auto"/>
        <w:rPr>
          <w:sz w:val="20"/>
          <w:szCs w:val="20"/>
          <w:color w:val="auto"/>
        </w:rPr>
      </w:pPr>
      <w:r>
        <w:rPr>
          <w:rFonts w:ascii="Arial" w:cs="Arial" w:eastAsia="Arial" w:hAnsi="Arial"/>
          <w:sz w:val="18"/>
          <w:szCs w:val="18"/>
          <w:color w:val="auto"/>
        </w:rPr>
        <w:t>Our financial performance also depends on our operational effectiveness and ability to fulfill orders in full and on time. Disruptions in our supply chain could affect customer demand, resulting in orders that may not materialize due to delayed deliveries and subsequent lost sales that we may not be able to recover in full, or at all.</w:t>
      </w:r>
    </w:p>
    <w:p>
      <w:pPr>
        <w:spacing w:after="0" w:line="116" w:lineRule="exact"/>
        <w:rPr>
          <w:sz w:val="20"/>
          <w:szCs w:val="20"/>
          <w:color w:val="auto"/>
        </w:rPr>
      </w:pPr>
    </w:p>
    <w:p>
      <w:pPr>
        <w:ind w:right="360" w:firstLine="318"/>
        <w:spacing w:after="0" w:line="307" w:lineRule="auto"/>
        <w:rPr>
          <w:sz w:val="20"/>
          <w:szCs w:val="20"/>
          <w:color w:val="auto"/>
        </w:rPr>
      </w:pPr>
      <w:r>
        <w:rPr>
          <w:rFonts w:ascii="Arial" w:cs="Arial" w:eastAsia="Arial" w:hAnsi="Arial"/>
          <w:sz w:val="17"/>
          <w:szCs w:val="17"/>
          <w:color w:val="auto"/>
        </w:rPr>
        <w:t>Further, we may not be able to recapture missed opportunities in later periods, for example if the opportunity is related to a significant grilling holiday like Memorial Day weekend, the Fourth of July, or Labor Day weekend. Missed opportunities may also result in missing subsequent additional opportunities. Internal and external operational issues therefore may impact the amount and variability of our results.</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Seasonality</w:t>
      </w:r>
    </w:p>
    <w:p>
      <w:pPr>
        <w:spacing w:after="0" w:line="177" w:lineRule="exact"/>
        <w:rPr>
          <w:sz w:val="20"/>
          <w:szCs w:val="20"/>
          <w:color w:val="auto"/>
        </w:rPr>
      </w:pPr>
    </w:p>
    <w:p>
      <w:pPr>
        <w:ind w:firstLine="318"/>
        <w:spacing w:after="0" w:line="275" w:lineRule="auto"/>
        <w:rPr>
          <w:sz w:val="20"/>
          <w:szCs w:val="20"/>
          <w:color w:val="auto"/>
        </w:rPr>
      </w:pPr>
      <w:r>
        <w:rPr>
          <w:rFonts w:ascii="Arial" w:cs="Arial" w:eastAsia="Arial" w:hAnsi="Arial"/>
          <w:sz w:val="18"/>
          <w:szCs w:val="18"/>
          <w:color w:val="auto"/>
        </w:rPr>
        <w:t>Generally, we expect to experience greater demand for certain of our products during the U.S. summer grilling season. In 2024 and 2023, U.S. retail channel net revenues during the second quarter were 21% and 10% higher than the first quarter, respectively. In general, any historical effects of seasonality have been more pronounced within our U.S. retail channel, with revenue contribution from this channel generally tending to be greater in the second and third quarters of the year, driven by increased levels of grilling activity, higher levels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1" w:name="page52"/>
    <w:bookmarkEnd w:id="51"/>
    <w:p>
      <w:pPr>
        <w:spacing w:after="0" w:line="127"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purchasing by customers ahead of holidays, the impact of customer shelf reset activity and the timing of product restocking by our retail customers. In an environment of heightened uncertainty from potential recessionary and inflationary pressures, prolonged weakness in the plant-based meat category, competition and other factors impacting our business, we are unable to assess the ultimate impact on the demand for our products as a result of seasonality.</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77" w:lineRule="exact"/>
        <w:rPr>
          <w:sz w:val="20"/>
          <w:szCs w:val="20"/>
          <w:color w:val="auto"/>
        </w:rPr>
      </w:pPr>
    </w:p>
    <w:p>
      <w:pPr>
        <w:ind w:right="100" w:firstLine="318"/>
        <w:spacing w:after="0" w:line="291" w:lineRule="auto"/>
        <w:rPr>
          <w:sz w:val="20"/>
          <w:szCs w:val="20"/>
          <w:color w:val="auto"/>
        </w:rPr>
      </w:pPr>
      <w:r>
        <w:rPr>
          <w:rFonts w:ascii="Arial" w:cs="Arial" w:eastAsia="Arial" w:hAnsi="Arial"/>
          <w:sz w:val="17"/>
          <w:szCs w:val="17"/>
          <w:color w:val="auto"/>
        </w:rPr>
        <w:t>Gross profit consists of our net revenues less cost of goods sold. Gross margin is gross profit expressed as a percentage of our net revenues. Our cost of goods sold primarily consists of the cost of raw materials including ingredients and packaging, co-manufacturing fees, direct and indirect labor and certain supply costs, inbound and internal shipping and handling costs incurred in manufacturing our products, warehouse storage fees, plant and equipment overhead, depreciation and amortization expense, provision for excess and obsolete inventory and impairment charges, and accelerated depreciation on write-offs and disposals of fixed assets. Under certain circumstances, our cost of goods sold may also include underutilization and/or termination fees associated with our co-manufacturing agreements.</w:t>
      </w:r>
    </w:p>
    <w:p>
      <w:pPr>
        <w:spacing w:after="0" w:line="115" w:lineRule="exact"/>
        <w:rPr>
          <w:sz w:val="20"/>
          <w:szCs w:val="20"/>
          <w:color w:val="auto"/>
        </w:rPr>
      </w:pPr>
    </w:p>
    <w:p>
      <w:pPr>
        <w:ind w:right="20" w:firstLine="318"/>
        <w:spacing w:after="0" w:line="283" w:lineRule="auto"/>
        <w:rPr>
          <w:sz w:val="20"/>
          <w:szCs w:val="20"/>
          <w:color w:val="auto"/>
        </w:rPr>
      </w:pPr>
      <w:r>
        <w:rPr>
          <w:rFonts w:ascii="Arial" w:cs="Arial" w:eastAsia="Arial" w:hAnsi="Arial"/>
          <w:sz w:val="18"/>
          <w:szCs w:val="18"/>
          <w:color w:val="auto"/>
        </w:rPr>
        <w:t>Subject to potential recessionary and inflationary pressures, prolonged weakness in the plant-based meat category, competition and other factors impacting our business, we continue to expect that long-term gross profit and gross margin improvements will be delivered primarily through:</w:t>
      </w:r>
    </w:p>
    <w:p>
      <w:pPr>
        <w:spacing w:after="0" w:line="103" w:lineRule="exact"/>
        <w:rPr>
          <w:sz w:val="20"/>
          <w:szCs w:val="20"/>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implementation of lean value streams across our beef, pork and poultry platforms;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reviewing and adjusting our pricing architecture within certain channels;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exiting select product lines in order to eliminate margin-dilutive products or to streamline our supply chain operations;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improved volume leverage and throughput;</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reduced manufacturing conversion costs driven in part by network consolidation and optimization of our production network;</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greater internalization and geographic localization of our manufacturing footprint;</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finished goods, materials and packaging input cost reductions and scale of purchasing;</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end-to-end production processes across a greater proportion of our manufacturing network;</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scale-driven efficiencies in procurement and fixed cost absorption;</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and process innovations and reformulations; and</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improved supply chain logistics and distribution costs.</w:t>
      </w:r>
    </w:p>
    <w:p>
      <w:pPr>
        <w:spacing w:after="0" w:line="177" w:lineRule="exact"/>
        <w:rPr>
          <w:sz w:val="20"/>
          <w:szCs w:val="20"/>
          <w:color w:val="auto"/>
        </w:rPr>
      </w:pPr>
    </w:p>
    <w:p>
      <w:pPr>
        <w:ind w:firstLine="318"/>
        <w:spacing w:after="0" w:line="289" w:lineRule="auto"/>
        <w:rPr>
          <w:sz w:val="20"/>
          <w:szCs w:val="20"/>
          <w:color w:val="auto"/>
        </w:rPr>
      </w:pPr>
      <w:r>
        <w:rPr>
          <w:rFonts w:ascii="Arial" w:cs="Arial" w:eastAsia="Arial" w:hAnsi="Arial"/>
          <w:sz w:val="17"/>
          <w:szCs w:val="17"/>
          <w:color w:val="auto"/>
        </w:rPr>
        <w:t>Gross margin improvement may, however, continue to be negatively impacted by reduced capacity utilization if demand for our products continues to decline, investments in our production infrastructure in advance of anticipated demand, which may not materialize within the expected timeframe, investment in production personnel, partnerships and product pipeline, aggressive pricing strategies and increased discounting, increases in inventory provision, write-down or write-off of excess and obsolete inventory and potentially increased sales to liquidation channels at lower prices, changes in our product and customer sales mix, expansion into new geographies and markets where cost and pricing structures may differ from our existing markets, and underutilization fees, termination fees and other costs to exit certain supply chain arrangements and product lines and, in some instances, certain non-routine charges. Gross margin improvement is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52" w:name="page53"/>
    <w:bookmarkEnd w:id="52"/>
    <w:p>
      <w:pPr>
        <w:spacing w:after="0" w:line="127" w:lineRule="exact"/>
        <w:rPr>
          <w:sz w:val="20"/>
          <w:szCs w:val="20"/>
          <w:color w:val="auto"/>
        </w:rPr>
      </w:pPr>
    </w:p>
    <w:p>
      <w:pPr>
        <w:ind w:right="220"/>
        <w:spacing w:after="0" w:line="290" w:lineRule="auto"/>
        <w:rPr>
          <w:sz w:val="20"/>
          <w:szCs w:val="20"/>
          <w:color w:val="auto"/>
        </w:rPr>
      </w:pPr>
      <w:r>
        <w:rPr>
          <w:rFonts w:ascii="Arial" w:cs="Arial" w:eastAsia="Arial" w:hAnsi="Arial"/>
          <w:sz w:val="18"/>
          <w:szCs w:val="18"/>
          <w:color w:val="auto"/>
        </w:rPr>
        <w:t>expected to continue to be negatively impacted by the impact of inflation, tariffs and increasing labor costs, materials costs and transportation costs.</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77" w:lineRule="exact"/>
        <w:rPr>
          <w:sz w:val="20"/>
          <w:szCs w:val="20"/>
          <w:color w:val="auto"/>
        </w:rPr>
      </w:pPr>
    </w:p>
    <w:p>
      <w:pPr>
        <w:ind w:firstLine="318"/>
        <w:spacing w:after="0" w:line="288" w:lineRule="auto"/>
        <w:rPr>
          <w:sz w:val="20"/>
          <w:szCs w:val="20"/>
          <w:color w:val="auto"/>
        </w:rPr>
      </w:pPr>
      <w:r>
        <w:rPr>
          <w:rFonts w:ascii="Arial" w:cs="Arial" w:eastAsia="Arial" w:hAnsi="Arial"/>
          <w:sz w:val="17"/>
          <w:szCs w:val="17"/>
          <w:color w:val="auto"/>
        </w:rPr>
        <w:t>Research and development expenses consist primarily of personnel and related expenses for our research and development staff, including salaries, benefits, bonuses, share-based compensation, scale-up expenses, depreciation and amortization expenses on research and development assets, and facility lease costs. Our research and development efforts are focused on enhancements to our existing product formulations and production processes in addition to the development of new products. Although we expect to continue to invest in research and development over time, we decreased our research and development expenses in 2024 and expect research and development expenses in 2025 to decrease compared to the levels in 2024 as we continue to focus on reducing and optimizing operating expenses more broadly.</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SG&amp;A Expenses</w:t>
      </w:r>
    </w:p>
    <w:p>
      <w:pPr>
        <w:spacing w:after="0" w:line="177" w:lineRule="exact"/>
        <w:rPr>
          <w:sz w:val="20"/>
          <w:szCs w:val="20"/>
          <w:color w:val="auto"/>
        </w:rPr>
      </w:pPr>
    </w:p>
    <w:p>
      <w:pPr>
        <w:ind w:firstLine="318"/>
        <w:spacing w:after="0" w:line="269" w:lineRule="auto"/>
        <w:rPr>
          <w:sz w:val="20"/>
          <w:szCs w:val="20"/>
          <w:color w:val="auto"/>
        </w:rPr>
      </w:pPr>
      <w:r>
        <w:rPr>
          <w:rFonts w:ascii="Arial" w:cs="Arial" w:eastAsia="Arial" w:hAnsi="Arial"/>
          <w:sz w:val="18"/>
          <w:szCs w:val="18"/>
          <w:color w:val="auto"/>
        </w:rPr>
        <w:t>SG&amp;A expenses consist primarily of selling, marketing and administrative expenses, including personnel and related expenses, share-based compensation, outbound shipping and handling costs, non-manufacturing lease expense, depreciation and amortization expense on non-manufacturing and non-research and development assets, charges related to asset write-offs including loss on sale and write-down of fixed assets, consulting fees and other non-production operating expenses. Marketing and selling expenses include advertising costs, share-based compensation awards to non-employee consultants and brand ambassadors, costs associated with consumer promotions, product donations, product samples and sales aids incurred to acquire new customers, retain existing customers and build our brand awareness. Administrative expenses include expenses related to management, accounting, legal, IT and other office functions. We decreased SG&amp;A expenses in 2024 and expect SG&amp;A expenses in 2025 to decrease further from the levels in 2024 (excluding charges related to the suspension of our operational activities in China), as we continue to focus on reducing and optimizing operating expenses more broadly, including as part of the implementation of lean value streams across our beef, pork and poultry platforms.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Reductions-In-Force and Suspension of Operational Activities in China</w:t>
      </w:r>
    </w:p>
    <w:p>
      <w:pPr>
        <w:spacing w:after="0" w:line="177" w:lineRule="exact"/>
        <w:rPr>
          <w:sz w:val="20"/>
          <w:szCs w:val="20"/>
          <w:color w:val="auto"/>
        </w:rPr>
      </w:pPr>
    </w:p>
    <w:p>
      <w:pPr>
        <w:ind w:firstLine="318"/>
        <w:spacing w:after="0" w:line="273" w:lineRule="auto"/>
        <w:rPr>
          <w:sz w:val="20"/>
          <w:szCs w:val="20"/>
          <w:color w:val="auto"/>
        </w:rPr>
      </w:pPr>
      <w:r>
        <w:rPr>
          <w:rFonts w:ascii="Arial" w:cs="Arial" w:eastAsia="Arial" w:hAnsi="Arial"/>
          <w:sz w:val="18"/>
          <w:szCs w:val="18"/>
          <w:color w:val="auto"/>
        </w:rPr>
        <w:t>On November 1, 2023, our board of directors approved a plan to reduce our workforce by approximately 65 employees, representing approximately 19% of our global non-production workforce (or approximately 8% of our total global workforce). This decision was based on cost-reduction initiatives intended to reduce operating expenses. In 2023, we incurred one-time cash charges of approximately $1.8 million in connection with the reduction-in-force, primarily consisting of notice period and severance payments, employee benefits and related costs. These charges were incurred in the fourth quarter of 2023, and the reduction-in-force approved by our board of directors in November 2023 was substantially complete by the end of 2023.</w:t>
      </w:r>
    </w:p>
    <w:p>
      <w:pPr>
        <w:spacing w:after="0" w:line="124" w:lineRule="exact"/>
        <w:rPr>
          <w:sz w:val="20"/>
          <w:szCs w:val="20"/>
          <w:color w:val="auto"/>
        </w:rPr>
      </w:pPr>
    </w:p>
    <w:p>
      <w:pPr>
        <w:ind w:firstLine="318"/>
        <w:spacing w:after="0" w:line="273" w:lineRule="auto"/>
        <w:rPr>
          <w:sz w:val="20"/>
          <w:szCs w:val="20"/>
          <w:color w:val="auto"/>
        </w:rPr>
      </w:pPr>
      <w:r>
        <w:rPr>
          <w:rFonts w:ascii="Arial" w:cs="Arial" w:eastAsia="Arial" w:hAnsi="Arial"/>
          <w:sz w:val="18"/>
          <w:szCs w:val="18"/>
          <w:color w:val="auto"/>
        </w:rPr>
        <w:t>On February 24, 2025, our board of directors approved the 2025 RIF. In the three months ended March 29, 2025, we recorded one-time cash charges of approximately $1.2 million in connection with the 2025 RIF, primarily consisting of severance payments, employee benefits and related costs, in all cases, provided to departing employees. In aggregate, the 2025 RIF, combined with the elimination of certain open positions and changes to the executive leadership team, is expected to result in approximately $5.5 million to $6.5 million in cash compensation operating expense savings in 2025, and an additional approximately $1.0 million to $1.5 million in non-cash savings in 2025 related to previously granted, unvested stock-based compensation that would have vested in 2025.</w:t>
      </w:r>
    </w:p>
    <w:p>
      <w:pPr>
        <w:spacing w:after="0" w:line="124" w:lineRule="exact"/>
        <w:rPr>
          <w:sz w:val="20"/>
          <w:szCs w:val="20"/>
          <w:color w:val="auto"/>
        </w:rPr>
      </w:pPr>
    </w:p>
    <w:p>
      <w:pPr>
        <w:ind w:firstLine="318"/>
        <w:spacing w:after="0" w:line="290" w:lineRule="auto"/>
        <w:rPr>
          <w:sz w:val="20"/>
          <w:szCs w:val="20"/>
          <w:color w:val="auto"/>
        </w:rPr>
      </w:pPr>
      <w:r>
        <w:rPr>
          <w:rFonts w:ascii="Arial" w:cs="Arial" w:eastAsia="Arial" w:hAnsi="Arial"/>
          <w:sz w:val="18"/>
          <w:szCs w:val="18"/>
          <w:color w:val="auto"/>
        </w:rPr>
        <w:t>In addition, in furtherance of this goal and as part of our Global Operations Review, on February 24, 2025, our board of directors approved a plan to suspend our operational activities in China, including the China RIF.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27" w:lineRule="exact"/>
        <w:rPr>
          <w:sz w:val="20"/>
          <w:szCs w:val="20"/>
          <w:color w:val="auto"/>
        </w:rPr>
      </w:pPr>
    </w:p>
    <w:p>
      <w:pPr>
        <w:ind w:firstLine="318"/>
        <w:spacing w:after="0" w:line="275" w:lineRule="auto"/>
        <w:rPr>
          <w:sz w:val="20"/>
          <w:szCs w:val="20"/>
          <w:color w:val="auto"/>
        </w:rPr>
      </w:pPr>
      <w:r>
        <w:rPr>
          <w:rFonts w:ascii="Arial" w:cs="Arial" w:eastAsia="Arial" w:hAnsi="Arial"/>
          <w:sz w:val="18"/>
          <w:szCs w:val="18"/>
          <w:color w:val="auto"/>
        </w:rPr>
        <w:t>In connection with the suspension of our operational activities in China, including the China RIF, in the three months ended March 29, 2025, we recorded one-time cash charges of approximately $0.4 million, primarily consisting of severance payments, employee benefits and related costs, in all cases, provided to departing employees, and contract termination costs. In aggregate, the China RIF is expected to result in approximately $0.5 million to $1.0 million in cash compensation operating expense savings in 2025.</w:t>
      </w:r>
    </w:p>
    <w:p>
      <w:pPr>
        <w:spacing w:after="0" w:line="125" w:lineRule="exact"/>
        <w:rPr>
          <w:sz w:val="20"/>
          <w:szCs w:val="20"/>
          <w:color w:val="auto"/>
        </w:rPr>
      </w:pPr>
    </w:p>
    <w:p>
      <w:pPr>
        <w:ind w:right="140" w:firstLine="318"/>
        <w:spacing w:after="0" w:line="291" w:lineRule="auto"/>
        <w:rPr>
          <w:sz w:val="20"/>
          <w:szCs w:val="20"/>
          <w:color w:val="auto"/>
        </w:rPr>
      </w:pPr>
      <w:r>
        <w:rPr>
          <w:rFonts w:ascii="Arial" w:cs="Arial" w:eastAsia="Arial" w:hAnsi="Arial"/>
          <w:sz w:val="17"/>
          <w:szCs w:val="17"/>
          <w:color w:val="auto"/>
        </w:rPr>
        <w:t>In addition, as a result of our decision to suspend our operational activities in China, we currently estimate that we will incur accelerated depreciation and other inventory and asset write-offs in China totaling $13.0 million to $14.0 million through the end of 2026, of which $1.5 million in accelerated depreciation related to the reassessment of useful lives of certain assets was recognized in the first quarter of 2025, and the remainder of which is expected to be evenly distributed beginning in the second quarter of 2025 through the end of the fourth quarter of 2026. The calculation of the charges we estimate we will incur are subject to uncertainties and based on a number of assumptions, including applicable legal requirements and asset disposition plans; the actual charges incurred may differ from the estimates disclosed above.</w:t>
      </w:r>
    </w:p>
    <w:p>
      <w:pPr>
        <w:spacing w:after="0" w:line="115" w:lineRule="exact"/>
        <w:rPr>
          <w:sz w:val="20"/>
          <w:szCs w:val="20"/>
          <w:color w:val="auto"/>
        </w:rPr>
      </w:pPr>
    </w:p>
    <w:p>
      <w:pPr>
        <w:jc w:val="both"/>
        <w:ind w:right="280" w:firstLine="318"/>
        <w:spacing w:after="0" w:line="283"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Risk Factors—Risks Related to Our Business—Our strategic initiatives to improve our cost structure could have long-term adverse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effects on our business, and we may not realize the operational or financial benefits from such actions, including achieving and/or sustaining our profitability and financial performance objectives in Part I, Item 1A, Risk Factors, </w:t>
      </w:r>
      <w:r>
        <w:rPr>
          <w:rFonts w:ascii="Arial" w:cs="Arial" w:eastAsia="Arial" w:hAnsi="Arial"/>
          <w:sz w:val="18"/>
          <w:szCs w:val="18"/>
          <w:color w:val="auto"/>
        </w:rPr>
        <w:t>in our 2024 10-K.</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9" w:lineRule="exact"/>
        <w:rPr>
          <w:sz w:val="20"/>
          <w:szCs w:val="20"/>
          <w:color w:val="auto"/>
        </w:rPr>
      </w:pPr>
    </w:p>
    <w:p>
      <w:pPr>
        <w:ind w:right="220" w:firstLine="318"/>
        <w:spacing w:after="0" w:line="305" w:lineRule="auto"/>
        <w:rPr>
          <w:sz w:val="20"/>
          <w:szCs w:val="20"/>
          <w:color w:val="auto"/>
        </w:rPr>
      </w:pPr>
      <w:r>
        <w:rPr>
          <w:rFonts w:ascii="Arial" w:cs="Arial" w:eastAsia="Arial" w:hAnsi="Arial"/>
          <w:sz w:val="18"/>
          <w:szCs w:val="18"/>
          <w:color w:val="auto"/>
        </w:rPr>
        <w:t>The following table presents selected items in our condensed consolidated statements of operations for the respective periods presented (unaudited):</w:t>
      </w:r>
    </w:p>
    <w:p>
      <w:pPr>
        <w:spacing w:after="0" w:line="126" w:lineRule="exact"/>
        <w:rPr>
          <w:sz w:val="20"/>
          <w:szCs w:val="20"/>
          <w:color w:val="auto"/>
        </w:rPr>
      </w:pPr>
    </w:p>
    <w:tbl>
      <w:tblPr>
        <w:tblLayout w:type="fixed"/>
        <w:tblInd w:w="40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6"/>
                <w:szCs w:val="16"/>
                <w:b w:val="1"/>
                <w:bCs w:val="1"/>
                <w:color w:val="auto"/>
              </w:rPr>
              <w:t>Three Months Ended</w:t>
            </w:r>
          </w:p>
        </w:tc>
      </w:tr>
      <w:tr>
        <w:trPr>
          <w:trHeight w:val="165"/>
        </w:trPr>
        <w:tc>
          <w:tcPr>
            <w:tcW w:w="7340" w:type="dxa"/>
            <w:vAlign w:val="bottom"/>
            <w:gridSpan w:val="3"/>
          </w:tcPr>
          <w:p>
            <w:pPr>
              <w:ind w:left="20"/>
              <w:spacing w:after="0" w:line="165" w:lineRule="exact"/>
              <w:rPr>
                <w:sz w:val="20"/>
                <w:szCs w:val="20"/>
                <w:color w:val="auto"/>
              </w:rPr>
            </w:pPr>
            <w:r>
              <w:rPr>
                <w:rFonts w:ascii="Arial" w:cs="Arial" w:eastAsia="Arial" w:hAnsi="Arial"/>
                <w:sz w:val="16"/>
                <w:szCs w:val="16"/>
                <w:b w:val="1"/>
                <w:bCs w:val="1"/>
                <w:color w:val="auto"/>
              </w:rPr>
              <w:t>(in thousands)</w:t>
            </w:r>
          </w:p>
        </w:tc>
        <w:tc>
          <w:tcPr>
            <w:tcW w:w="160" w:type="dxa"/>
            <w:vAlign w:val="bottom"/>
          </w:tcPr>
          <w:p>
            <w:pPr>
              <w:spacing w:after="0"/>
              <w:rPr>
                <w:sz w:val="14"/>
                <w:szCs w:val="14"/>
                <w:color w:val="auto"/>
              </w:rPr>
            </w:pPr>
          </w:p>
        </w:tc>
        <w:tc>
          <w:tcPr>
            <w:tcW w:w="1440" w:type="dxa"/>
            <w:vAlign w:val="bottom"/>
            <w:gridSpan w:val="2"/>
          </w:tcPr>
          <w:p>
            <w:pPr>
              <w:ind w:left="20"/>
              <w:spacing w:after="0" w:line="165" w:lineRule="exact"/>
              <w:rPr>
                <w:sz w:val="20"/>
                <w:szCs w:val="20"/>
                <w:color w:val="auto"/>
              </w:rPr>
            </w:pPr>
            <w:r>
              <w:rPr>
                <w:rFonts w:ascii="Arial" w:cs="Arial" w:eastAsia="Arial" w:hAnsi="Arial"/>
                <w:sz w:val="16"/>
                <w:szCs w:val="16"/>
                <w:b w:val="1"/>
                <w:bCs w:val="1"/>
                <w:color w:val="auto"/>
              </w:rPr>
              <w:t>March 29, 2025</w:t>
            </w:r>
          </w:p>
        </w:tc>
        <w:tc>
          <w:tcPr>
            <w:tcW w:w="160" w:type="dxa"/>
            <w:vAlign w:val="bottom"/>
          </w:tcPr>
          <w:p>
            <w:pPr>
              <w:spacing w:after="0"/>
              <w:rPr>
                <w:sz w:val="14"/>
                <w:szCs w:val="14"/>
                <w:color w:val="auto"/>
              </w:rPr>
            </w:pPr>
          </w:p>
        </w:tc>
        <w:tc>
          <w:tcPr>
            <w:tcW w:w="1340" w:type="dxa"/>
            <w:vAlign w:val="bottom"/>
          </w:tcPr>
          <w:p>
            <w:pPr>
              <w:jc w:val="right"/>
              <w:ind w:right="93"/>
              <w:spacing w:after="0" w:line="165" w:lineRule="exact"/>
              <w:rPr>
                <w:sz w:val="20"/>
                <w:szCs w:val="20"/>
                <w:color w:val="auto"/>
              </w:rPr>
            </w:pPr>
            <w:r>
              <w:rPr>
                <w:rFonts w:ascii="Arial" w:cs="Arial" w:eastAsia="Arial" w:hAnsi="Arial"/>
                <w:sz w:val="16"/>
                <w:szCs w:val="16"/>
                <w:b w:val="1"/>
                <w:bCs w:val="1"/>
                <w:color w:val="auto"/>
              </w:rPr>
              <w:t>March 30, 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6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8"/>
        </w:trPr>
        <w:tc>
          <w:tcPr>
            <w:tcW w:w="73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75,603</w:t>
            </w:r>
          </w:p>
        </w:tc>
      </w:tr>
      <w:tr>
        <w:trPr>
          <w:trHeight w:val="225"/>
        </w:trPr>
        <w:tc>
          <w:tcPr>
            <w:tcW w:w="73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Cost of goods sold</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69,796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71,935</w:t>
            </w:r>
          </w:p>
        </w:tc>
      </w:tr>
      <w:tr>
        <w:trPr>
          <w:trHeight w:val="219"/>
        </w:trPr>
        <w:tc>
          <w:tcPr>
            <w:tcW w:w="73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Gross (loss) profit</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3,668</w:t>
            </w:r>
          </w:p>
        </w:tc>
      </w:tr>
      <w:tr>
        <w:trPr>
          <w:trHeight w:val="218"/>
        </w:trPr>
        <w:tc>
          <w:tcPr>
            <w:tcW w:w="7340" w:type="dxa"/>
            <w:vAlign w:val="bottom"/>
            <w:gridSpan w:val="3"/>
          </w:tcPr>
          <w:p>
            <w:pPr>
              <w:ind w:left="20"/>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9,860</w:t>
            </w:r>
          </w:p>
        </w:tc>
      </w:tr>
      <w:tr>
        <w:trPr>
          <w:trHeight w:val="225"/>
        </w:trPr>
        <w:tc>
          <w:tcPr>
            <w:tcW w:w="73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47,672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47,282</w:t>
            </w:r>
          </w:p>
        </w:tc>
      </w:tr>
      <w:tr>
        <w:trPr>
          <w:trHeight w:val="218"/>
        </w:trPr>
        <w:tc>
          <w:tcPr>
            <w:tcW w:w="73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55,134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57,142</w:t>
            </w:r>
          </w:p>
        </w:tc>
      </w:tr>
      <w:tr>
        <w:trPr>
          <w:trHeight w:val="243"/>
        </w:trPr>
        <w:tc>
          <w:tcPr>
            <w:tcW w:w="73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(56,199)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(53,474)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6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4" w:name="page55"/>
    <w:bookmarkEnd w:id="54"/>
    <w:p>
      <w:pPr>
        <w:spacing w:after="0" w:line="127" w:lineRule="exact"/>
        <w:rPr>
          <w:sz w:val="20"/>
          <w:szCs w:val="20"/>
          <w:color w:val="auto"/>
        </w:rPr>
      </w:pPr>
    </w:p>
    <w:p>
      <w:pPr>
        <w:ind w:right="280" w:firstLine="318"/>
        <w:spacing w:after="0" w:line="290" w:lineRule="auto"/>
        <w:rPr>
          <w:sz w:val="20"/>
          <w:szCs w:val="20"/>
          <w:color w:val="auto"/>
        </w:rPr>
      </w:pPr>
      <w:r>
        <w:rPr>
          <w:rFonts w:ascii="Arial" w:cs="Arial" w:eastAsia="Arial" w:hAnsi="Arial"/>
          <w:sz w:val="18"/>
          <w:szCs w:val="18"/>
          <w:color w:val="auto"/>
        </w:rPr>
        <w:t>The following table presents selected items in our condensed consolidated statements of operations as a percentage of net revenues for the respective periods presented (unaudited):</w:t>
      </w:r>
    </w:p>
    <w:p>
      <w:pPr>
        <w:spacing w:after="0" w:line="152" w:lineRule="exact"/>
        <w:rPr>
          <w:sz w:val="20"/>
          <w:szCs w:val="20"/>
          <w:color w:val="auto"/>
        </w:rPr>
      </w:pPr>
    </w:p>
    <w:tbl>
      <w:tblPr>
        <w:tblLayout w:type="fixed"/>
        <w:tblInd w:w="400" w:type="dxa"/>
        <w:tblCellMar>
          <w:top w:w="0" w:type="dxa"/>
          <w:left w:w="0" w:type="dxa"/>
          <w:bottom w:w="0" w:type="dxa"/>
          <w:right w:w="0" w:type="dxa"/>
        </w:tblCellMar>
      </w:tblPr>
      <w:tr>
        <w:trPr>
          <w:trHeight w:val="213"/>
        </w:trPr>
        <w:tc>
          <w:tcPr>
            <w:tcW w:w="7140" w:type="dxa"/>
            <w:vAlign w:val="bottom"/>
          </w:tcPr>
          <w:p>
            <w:pPr>
              <w:spacing w:after="0"/>
              <w:rPr>
                <w:sz w:val="18"/>
                <w:szCs w:val="18"/>
                <w:color w:val="auto"/>
              </w:rPr>
            </w:pPr>
          </w:p>
        </w:tc>
        <w:tc>
          <w:tcPr>
            <w:tcW w:w="3300" w:type="dxa"/>
            <w:vAlign w:val="bottom"/>
            <w:tcBorders>
              <w:bottom w:val="single" w:sz="8" w:color="auto"/>
            </w:tcBorders>
            <w:gridSpan w:val="3"/>
          </w:tcPr>
          <w:p>
            <w:pPr>
              <w:jc w:val="right"/>
              <w:ind w:right="773"/>
              <w:spacing w:after="0"/>
              <w:rPr>
                <w:sz w:val="20"/>
                <w:szCs w:val="20"/>
                <w:color w:val="auto"/>
              </w:rPr>
            </w:pPr>
            <w:r>
              <w:rPr>
                <w:rFonts w:ascii="Arial" w:cs="Arial" w:eastAsia="Arial" w:hAnsi="Arial"/>
                <w:sz w:val="16"/>
                <w:szCs w:val="16"/>
                <w:b w:val="1"/>
                <w:bCs w:val="1"/>
                <w:color w:val="auto"/>
              </w:rPr>
              <w:t>Three Months Ended</w:t>
            </w:r>
          </w:p>
        </w:tc>
      </w:tr>
      <w:tr>
        <w:trPr>
          <w:trHeight w:val="205"/>
        </w:trPr>
        <w:tc>
          <w:tcPr>
            <w:tcW w:w="7140" w:type="dxa"/>
            <w:vAlign w:val="bottom"/>
          </w:tcPr>
          <w:p>
            <w:pPr>
              <w:spacing w:after="0"/>
              <w:rPr>
                <w:sz w:val="17"/>
                <w:szCs w:val="17"/>
                <w:color w:val="auto"/>
              </w:rPr>
            </w:pPr>
          </w:p>
        </w:tc>
        <w:tc>
          <w:tcPr>
            <w:tcW w:w="1700" w:type="dxa"/>
            <w:vAlign w:val="bottom"/>
            <w:gridSpan w:val="2"/>
          </w:tcPr>
          <w:p>
            <w:pPr>
              <w:ind w:left="240"/>
              <w:spacing w:after="0"/>
              <w:rPr>
                <w:sz w:val="20"/>
                <w:szCs w:val="20"/>
                <w:color w:val="auto"/>
              </w:rPr>
            </w:pPr>
            <w:r>
              <w:rPr>
                <w:rFonts w:ascii="Arial" w:cs="Arial" w:eastAsia="Arial" w:hAnsi="Arial"/>
                <w:sz w:val="16"/>
                <w:szCs w:val="16"/>
                <w:b w:val="1"/>
                <w:bCs w:val="1"/>
                <w:color w:val="auto"/>
              </w:rPr>
              <w:t>March 29, 2025</w:t>
            </w:r>
          </w:p>
        </w:tc>
        <w:tc>
          <w:tcPr>
            <w:tcW w:w="1600" w:type="dxa"/>
            <w:vAlign w:val="bottom"/>
          </w:tcPr>
          <w:p>
            <w:pPr>
              <w:jc w:val="right"/>
              <w:ind w:right="153"/>
              <w:spacing w:after="0"/>
              <w:rPr>
                <w:sz w:val="20"/>
                <w:szCs w:val="20"/>
                <w:color w:val="auto"/>
              </w:rPr>
            </w:pPr>
            <w:r>
              <w:rPr>
                <w:rFonts w:ascii="Arial" w:cs="Arial" w:eastAsia="Arial" w:hAnsi="Arial"/>
                <w:sz w:val="16"/>
                <w:szCs w:val="16"/>
                <w:b w:val="1"/>
                <w:bCs w:val="1"/>
                <w:color w:val="auto"/>
              </w:rPr>
              <w:t>March 30, 2024</w:t>
            </w:r>
          </w:p>
        </w:tc>
      </w:tr>
      <w:tr>
        <w:trPr>
          <w:trHeight w:val="219"/>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25"/>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6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101.5</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95.1</w:t>
            </w:r>
          </w:p>
        </w:tc>
      </w:tr>
      <w:tr>
        <w:trPr>
          <w:trHeight w:val="21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6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4.9</w:t>
            </w:r>
          </w:p>
        </w:tc>
      </w:tr>
      <w:tr>
        <w:trPr>
          <w:trHeight w:val="218"/>
        </w:trPr>
        <w:tc>
          <w:tcPr>
            <w:tcW w:w="7140" w:type="dxa"/>
            <w:vAlign w:val="bottom"/>
          </w:tcPr>
          <w:p>
            <w:pPr>
              <w:ind w:left="20"/>
              <w:spacing w:after="0"/>
              <w:rPr>
                <w:sz w:val="20"/>
                <w:szCs w:val="20"/>
                <w:color w:val="auto"/>
              </w:rPr>
            </w:pPr>
            <w:r>
              <w:rPr>
                <w:rFonts w:ascii="Arial" w:cs="Arial" w:eastAsia="Arial" w:hAnsi="Arial"/>
                <w:sz w:val="18"/>
                <w:szCs w:val="18"/>
                <w:color w:val="auto"/>
              </w:rPr>
              <w:t>Research and development expenses</w:t>
            </w:r>
          </w:p>
        </w:tc>
        <w:tc>
          <w:tcPr>
            <w:tcW w:w="1600" w:type="dxa"/>
            <w:vAlign w:val="bottom"/>
          </w:tcPr>
          <w:p>
            <w:pPr>
              <w:jc w:val="right"/>
              <w:ind w:right="154"/>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1600" w:type="dxa"/>
            <w:vAlign w:val="bottom"/>
          </w:tcPr>
          <w:p>
            <w:pPr>
              <w:jc w:val="right"/>
              <w:ind w:right="133"/>
              <w:spacing w:after="0"/>
              <w:rPr>
                <w:sz w:val="20"/>
                <w:szCs w:val="20"/>
                <w:color w:val="auto"/>
              </w:rPr>
            </w:pPr>
            <w:r>
              <w:rPr>
                <w:rFonts w:ascii="Arial" w:cs="Arial" w:eastAsia="Arial" w:hAnsi="Arial"/>
                <w:sz w:val="18"/>
                <w:szCs w:val="18"/>
                <w:color w:val="auto"/>
              </w:rPr>
              <w:t>13.0</w:t>
            </w:r>
          </w:p>
        </w:tc>
      </w:tr>
      <w:tr>
        <w:trPr>
          <w:trHeight w:val="225"/>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62.6</w:t>
            </w:r>
          </w:p>
        </w:tc>
      </w:tr>
      <w:tr>
        <w:trPr>
          <w:trHeight w:val="218"/>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16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80.3</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75.6</w:t>
            </w:r>
          </w:p>
        </w:tc>
      </w:tr>
      <w:tr>
        <w:trPr>
          <w:trHeight w:val="243"/>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29, 2025 Compared to Three Months Ended March 30, 2024 (unaudited)</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Net Revenues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our net revenues by channel in the three months ended March 29, 2025 as compared to the prior-year period:</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20" w:type="dxa"/>
            <w:vAlign w:val="bottom"/>
            <w:gridSpan w:val="5"/>
          </w:tcPr>
          <w:p>
            <w:pPr>
              <w:ind w:left="60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8"/>
                <w:szCs w:val="18"/>
                <w:color w:val="auto"/>
              </w:rPr>
            </w:pPr>
          </w:p>
        </w:tc>
        <w:tc>
          <w:tcPr>
            <w:tcW w:w="158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920" w:type="dxa"/>
            <w:vAlign w:val="bottom"/>
          </w:tcPr>
          <w:p>
            <w:pPr>
              <w:spacing w:after="0"/>
              <w:rPr>
                <w:sz w:val="18"/>
                <w:szCs w:val="18"/>
                <w:color w:val="auto"/>
              </w:rPr>
            </w:pPr>
          </w:p>
        </w:tc>
      </w:tr>
      <w:tr>
        <w:trPr>
          <w:trHeight w:val="166"/>
        </w:trPr>
        <w:tc>
          <w:tcPr>
            <w:tcW w:w="20" w:type="dxa"/>
            <w:vAlign w:val="bottom"/>
          </w:tcPr>
          <w:p>
            <w:pPr>
              <w:spacing w:after="0"/>
              <w:rPr>
                <w:sz w:val="14"/>
                <w:szCs w:val="14"/>
                <w:color w:val="auto"/>
              </w:rPr>
            </w:pPr>
          </w:p>
        </w:tc>
        <w:tc>
          <w:tcPr>
            <w:tcW w:w="5340" w:type="dxa"/>
            <w:vAlign w:val="bottom"/>
            <w:gridSpan w:val="2"/>
          </w:tcPr>
          <w:p>
            <w:pPr>
              <w:spacing w:after="0" w:line="165" w:lineRule="exact"/>
              <w:rPr>
                <w:sz w:val="20"/>
                <w:szCs w:val="20"/>
                <w:color w:val="auto"/>
              </w:rPr>
            </w:pPr>
            <w:r>
              <w:rPr>
                <w:rFonts w:ascii="Arial" w:cs="Arial" w:eastAsia="Arial" w:hAnsi="Arial"/>
                <w:sz w:val="16"/>
                <w:szCs w:val="16"/>
                <w:b w:val="1"/>
                <w:bCs w:val="1"/>
                <w:color w:val="auto"/>
              </w:rPr>
              <w:t>(in thousands)</w:t>
            </w:r>
          </w:p>
        </w:tc>
        <w:tc>
          <w:tcPr>
            <w:tcW w:w="1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gridSpan w:val="2"/>
          </w:tcPr>
          <w:p>
            <w:pPr>
              <w:ind w:left="20"/>
              <w:spacing w:after="0" w:line="165" w:lineRule="exact"/>
              <w:rPr>
                <w:sz w:val="20"/>
                <w:szCs w:val="20"/>
                <w:color w:val="auto"/>
              </w:rPr>
            </w:pPr>
            <w:r>
              <w:rPr>
                <w:rFonts w:ascii="Arial" w:cs="Arial" w:eastAsia="Arial" w:hAnsi="Arial"/>
                <w:sz w:val="16"/>
                <w:szCs w:val="16"/>
                <w:b w:val="1"/>
                <w:bCs w:val="1"/>
                <w:color w:val="auto"/>
              </w:rPr>
              <w:t>March 29, 2025</w:t>
            </w:r>
          </w:p>
        </w:tc>
        <w:tc>
          <w:tcPr>
            <w:tcW w:w="14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73"/>
              <w:spacing w:after="0" w:line="165" w:lineRule="exact"/>
              <w:rPr>
                <w:sz w:val="20"/>
                <w:szCs w:val="20"/>
                <w:color w:val="auto"/>
              </w:rPr>
            </w:pPr>
            <w:r>
              <w:rPr>
                <w:rFonts w:ascii="Arial" w:cs="Arial" w:eastAsia="Arial" w:hAnsi="Arial"/>
                <w:sz w:val="16"/>
                <w:szCs w:val="16"/>
                <w:b w:val="1"/>
                <w:bCs w:val="1"/>
                <w:color w:val="auto"/>
              </w:rPr>
              <w:t>March 30, 2024</w:t>
            </w: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3"/>
          </w:tcPr>
          <w:p>
            <w:pPr>
              <w:ind w:left="100"/>
              <w:spacing w:after="0" w:line="165" w:lineRule="exact"/>
              <w:rPr>
                <w:sz w:val="20"/>
                <w:szCs w:val="20"/>
                <w:color w:val="auto"/>
              </w:rPr>
            </w:pPr>
            <w:r>
              <w:rPr>
                <w:rFonts w:ascii="Arial" w:cs="Arial" w:eastAsia="Arial" w:hAnsi="Arial"/>
                <w:sz w:val="16"/>
                <w:szCs w:val="16"/>
                <w:b w:val="1"/>
                <w:bCs w:val="1"/>
                <w:color w:val="auto"/>
              </w:rPr>
              <w:t>Amount</w:t>
            </w:r>
          </w:p>
        </w:tc>
        <w:tc>
          <w:tcPr>
            <w:tcW w:w="920" w:type="dxa"/>
            <w:vAlign w:val="bottom"/>
            <w:tcBorders>
              <w:top w:val="single" w:sz="8" w:color="auto"/>
            </w:tcBorders>
          </w:tcPr>
          <w:p>
            <w:pPr>
              <w:jc w:val="right"/>
              <w:ind w:right="533"/>
              <w:spacing w:after="0" w:line="165" w:lineRule="exact"/>
              <w:rPr>
                <w:sz w:val="20"/>
                <w:szCs w:val="20"/>
                <w:color w:val="auto"/>
              </w:rPr>
            </w:pPr>
            <w:r>
              <w:rPr>
                <w:rFonts w:ascii="Arial" w:cs="Arial" w:eastAsia="Arial" w:hAnsi="Arial"/>
                <w:sz w:val="16"/>
                <w:szCs w:val="16"/>
                <w:b w:val="1"/>
                <w:bCs w:val="1"/>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534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color w:val="auto"/>
              </w:rPr>
              <w:t>U.S.:</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5340" w:type="dxa"/>
            <w:vAlign w:val="bottom"/>
            <w:gridSpan w:val="2"/>
          </w:tcPr>
          <w:p>
            <w:pPr>
              <w:ind w:left="320"/>
              <w:spacing w:after="0"/>
              <w:rPr>
                <w:sz w:val="20"/>
                <w:szCs w:val="20"/>
                <w:color w:val="auto"/>
              </w:rPr>
            </w:pPr>
            <w:r>
              <w:rPr>
                <w:rFonts w:ascii="Arial" w:cs="Arial" w:eastAsia="Arial" w:hAnsi="Arial"/>
                <w:sz w:val="18"/>
                <w:szCs w:val="18"/>
                <w:color w:val="auto"/>
              </w:rPr>
              <w:t>Retail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31,360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37,088</w:t>
            </w:r>
          </w:p>
        </w:tc>
        <w:tc>
          <w:tcPr>
            <w:tcW w:w="1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(5,728)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25"/>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Foodservice</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19"/>
        </w:trPr>
        <w:tc>
          <w:tcPr>
            <w:tcW w:w="20" w:type="dxa"/>
            <w:vAlign w:val="bottom"/>
            <w:tcBorders>
              <w:bottom w:val="single" w:sz="8" w:color="CCEEFF"/>
            </w:tcBorders>
          </w:tcPr>
          <w:p>
            <w:pPr>
              <w:spacing w:after="0"/>
              <w:rPr>
                <w:sz w:val="19"/>
                <w:szCs w:val="19"/>
                <w:color w:val="auto"/>
              </w:rPr>
            </w:pPr>
          </w:p>
        </w:tc>
        <w:tc>
          <w:tcPr>
            <w:tcW w:w="5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U.S. net revenues</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40,773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49,392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(17.5)%</w:t>
            </w:r>
          </w:p>
        </w:tc>
      </w:tr>
      <w:tr>
        <w:trPr>
          <w:trHeight w:val="205"/>
        </w:trPr>
        <w:tc>
          <w:tcPr>
            <w:tcW w:w="20" w:type="dxa"/>
            <w:vAlign w:val="bottom"/>
            <w:shd w:val="clear" w:color="auto" w:fill="CCEEFF"/>
          </w:tcPr>
          <w:p>
            <w:pPr>
              <w:spacing w:after="0"/>
              <w:rPr>
                <w:sz w:val="17"/>
                <w:szCs w:val="17"/>
                <w:color w:val="auto"/>
              </w:rPr>
            </w:pPr>
          </w:p>
        </w:tc>
        <w:tc>
          <w:tcPr>
            <w:tcW w:w="534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color w:val="auto"/>
              </w:rPr>
              <w:t>International:</w:t>
            </w: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5340" w:type="dxa"/>
            <w:vAlign w:val="bottom"/>
            <w:gridSpan w:val="2"/>
          </w:tcPr>
          <w:p>
            <w:pPr>
              <w:ind w:left="320"/>
              <w:spacing w:after="0"/>
              <w:rPr>
                <w:sz w:val="20"/>
                <w:szCs w:val="20"/>
                <w:color w:val="auto"/>
              </w:rPr>
            </w:pPr>
            <w:r>
              <w:rPr>
                <w:rFonts w:ascii="Arial" w:cs="Arial" w:eastAsia="Arial" w:hAnsi="Arial"/>
                <w:sz w:val="18"/>
                <w:szCs w:val="18"/>
                <w:color w:val="auto"/>
              </w:rPr>
              <w:t>Retail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12,682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12,578</w:t>
            </w:r>
          </w:p>
        </w:tc>
        <w:tc>
          <w:tcPr>
            <w:tcW w:w="120" w:type="dxa"/>
            <w:vAlign w:val="bottom"/>
          </w:tcPr>
          <w:p>
            <w:pPr>
              <w:spacing w:after="0"/>
              <w:rPr>
                <w:sz w:val="19"/>
                <w:szCs w:val="19"/>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0.8 %</w:t>
            </w:r>
          </w:p>
        </w:tc>
      </w:tr>
      <w:tr>
        <w:trPr>
          <w:trHeight w:val="225"/>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Foodservice</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12.1 %</w:t>
            </w:r>
          </w:p>
        </w:tc>
      </w:tr>
      <w:tr>
        <w:trPr>
          <w:trHeight w:val="219"/>
        </w:trPr>
        <w:tc>
          <w:tcPr>
            <w:tcW w:w="20" w:type="dxa"/>
            <w:vAlign w:val="bottom"/>
            <w:tcBorders>
              <w:bottom w:val="single" w:sz="8" w:color="CCEEFF"/>
            </w:tcBorders>
          </w:tcPr>
          <w:p>
            <w:pPr>
              <w:spacing w:after="0"/>
              <w:rPr>
                <w:sz w:val="19"/>
                <w:szCs w:val="19"/>
                <w:color w:val="auto"/>
              </w:rPr>
            </w:pPr>
          </w:p>
        </w:tc>
        <w:tc>
          <w:tcPr>
            <w:tcW w:w="5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International net revenues</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27,958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26,211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6.7 %</w:t>
            </w: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5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68,731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75,603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bl>
    <w:p>
      <w:pPr>
        <w:spacing w:after="0" w:line="208" w:lineRule="exact"/>
        <w:rPr>
          <w:sz w:val="20"/>
          <w:szCs w:val="20"/>
          <w:color w:val="auto"/>
        </w:rPr>
      </w:pPr>
    </w:p>
    <w:p>
      <w:pPr>
        <w:ind w:right="20" w:firstLine="318"/>
        <w:spacing w:after="0" w:line="273" w:lineRule="auto"/>
        <w:rPr>
          <w:sz w:val="20"/>
          <w:szCs w:val="20"/>
          <w:color w:val="auto"/>
        </w:rPr>
      </w:pPr>
      <w:r>
        <w:rPr>
          <w:rFonts w:ascii="Arial" w:cs="Arial" w:eastAsia="Arial" w:hAnsi="Arial"/>
          <w:sz w:val="18"/>
          <w:szCs w:val="18"/>
          <w:color w:val="auto"/>
        </w:rPr>
        <w:t>Net revenues in the three months ended March 29, 2025 decreased $6.9 million, or 9.1%, as compared to the prior-year period, primarily driven by a 11.2% decrease in volume of products sold, partially offset by a 2.4% increase in net revenue per pound. The decrease in volume of products sold was primarily driven by weak category demand, in the U.S. retail and foodservice channels, which management believes was exacerbated by economic uncertainty and other macroeconomic trends during the quarter. The increase in net revenue per pound was primarily driven by lower trade discounts and price increases of certain of our products, partially offset by changes in product sales mix and unfavorable changes in foreign currency exchange rates.</w:t>
      </w:r>
    </w:p>
    <w:p>
      <w:pPr>
        <w:spacing w:after="0" w:line="124" w:lineRule="exact"/>
        <w:rPr>
          <w:sz w:val="20"/>
          <w:szCs w:val="20"/>
          <w:color w:val="auto"/>
        </w:rPr>
      </w:pPr>
    </w:p>
    <w:p>
      <w:pPr>
        <w:ind w:right="100" w:firstLine="318"/>
        <w:spacing w:after="0" w:line="276" w:lineRule="auto"/>
        <w:rPr>
          <w:sz w:val="20"/>
          <w:szCs w:val="20"/>
          <w:color w:val="auto"/>
        </w:rPr>
      </w:pPr>
      <w:r>
        <w:rPr>
          <w:rFonts w:ascii="Arial" w:cs="Arial" w:eastAsia="Arial" w:hAnsi="Arial"/>
          <w:sz w:val="18"/>
          <w:szCs w:val="18"/>
          <w:color w:val="auto"/>
        </w:rPr>
        <w:t>Net revenues from U.S. retail channel sales in the three months ended March 29, 2025 decreased $5.7 million, or 15.4%, as compared to the prior-year period, primarily driven by a 23.2% decrease in volume of product sold, partially offset by a 10.0% increase in net revenue per pound. The decrease in volume of products sold was primarily driven by weak category demand, price elasticity effects resulting from pricing changes implemented in 2024 and some loss of distribution within certain retailers. The increase in net revenue per pound was primarily driven by lower trade discounts and price increases of certain of our products, partially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27"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color w:val="auto"/>
        </w:rPr>
        <w:t>offset by changes in product sales mix. U.S. retail channel net revenues in the three months ended March 29, 2025 included $13,000 in ingredient sales, as compared to $1.6 million in the three months ended March 30, 2024. By product, the decrease in U.S. retail channel net revenues was primarily due to decreased sales of Beyond Beef, Beyond Burger, Beyond Breakfast Sausage, Beyond Meatballs, Beyond Sausage, and chicken products including Beyond Chicken Tenders and Beyond Chicken Nuggets.</w:t>
      </w:r>
    </w:p>
    <w:p>
      <w:pPr>
        <w:spacing w:after="0" w:line="125" w:lineRule="exact"/>
        <w:rPr>
          <w:sz w:val="20"/>
          <w:szCs w:val="20"/>
          <w:color w:val="auto"/>
        </w:rPr>
      </w:pPr>
    </w:p>
    <w:p>
      <w:pPr>
        <w:ind w:firstLine="318"/>
        <w:spacing w:after="0" w:line="273" w:lineRule="auto"/>
        <w:rPr>
          <w:sz w:val="20"/>
          <w:szCs w:val="20"/>
          <w:color w:val="auto"/>
        </w:rPr>
      </w:pPr>
      <w:r>
        <w:rPr>
          <w:rFonts w:ascii="Arial" w:cs="Arial" w:eastAsia="Arial" w:hAnsi="Arial"/>
          <w:sz w:val="18"/>
          <w:szCs w:val="18"/>
          <w:color w:val="auto"/>
        </w:rPr>
        <w:t>Net revenues from U.S. foodservice channel sales in the three months ended March 29, 2025 decreased $2.9 million, or 23.5%, as compared to the prior-year period, primarily driven by a 22.0% decrease in volume of products sold, primarily reflecting weak category demand and lower burger sales to a QSR customer, and a 2.0% decrease in net revenue per pound, primarily driven by higher trade discounts and changes in product sales mix, partially offset by price increases of certain of our products. By product, the decrease in U.S. foodservice channel net revenues was primarily due to decreased sales of Beyond Burger, partially offset by increased sales of chicken products, including sales to a large QSR customer as well as sales of Beyond Chicken Tenders and Beyond Chicken Nuggets.</w:t>
      </w:r>
    </w:p>
    <w:p>
      <w:pPr>
        <w:spacing w:after="0" w:line="124" w:lineRule="exact"/>
        <w:rPr>
          <w:sz w:val="20"/>
          <w:szCs w:val="20"/>
          <w:color w:val="auto"/>
        </w:rPr>
      </w:pPr>
    </w:p>
    <w:p>
      <w:pPr>
        <w:ind w:right="540" w:firstLine="318"/>
        <w:spacing w:after="0" w:line="271" w:lineRule="auto"/>
        <w:rPr>
          <w:sz w:val="20"/>
          <w:szCs w:val="20"/>
          <w:color w:val="auto"/>
        </w:rPr>
      </w:pPr>
      <w:r>
        <w:rPr>
          <w:rFonts w:ascii="Arial" w:cs="Arial" w:eastAsia="Arial" w:hAnsi="Arial"/>
          <w:sz w:val="18"/>
          <w:szCs w:val="18"/>
          <w:color w:val="auto"/>
        </w:rPr>
        <w:t>Net revenues from international retail channel sales in the three months ended March 29, 2025 increased $0.1 million, or 0.8%, as compared to the prior-year period, primarily driven by a 10.3% increase in net revenue per pound, partially offset by an 8.6% decrease in volume of products sold. The increase in net revenue per pound was primarily driven by changes in product sales mix and lower trade discounts, partially offset by unfavorable changes in foreign currency exchange rates and price decreases of certain of our products. The decrease in volume of products sold was primarily due to lower sales of our ground beef products in the EU. By product, the decrease in international retail channel net revenues was primarily due to decreased sales of Beyond Beef in the EU and decreased sales of Beyond Burger, partially offset by increased sales of Beyond Steak.</w:t>
      </w:r>
    </w:p>
    <w:p>
      <w:pPr>
        <w:spacing w:after="0" w:line="139" w:lineRule="exact"/>
        <w:rPr>
          <w:sz w:val="20"/>
          <w:szCs w:val="20"/>
          <w:color w:val="auto"/>
        </w:rPr>
      </w:pPr>
    </w:p>
    <w:p>
      <w:pPr>
        <w:ind w:right="100" w:firstLine="318"/>
        <w:spacing w:after="0" w:line="270" w:lineRule="auto"/>
        <w:rPr>
          <w:sz w:val="20"/>
          <w:szCs w:val="20"/>
          <w:color w:val="auto"/>
        </w:rPr>
      </w:pPr>
      <w:r>
        <w:rPr>
          <w:rFonts w:ascii="Arial" w:cs="Arial" w:eastAsia="Arial" w:hAnsi="Arial"/>
          <w:sz w:val="18"/>
          <w:szCs w:val="18"/>
          <w:color w:val="auto"/>
        </w:rPr>
        <w:t>Net revenues from international foodservice channel sales in the three months ended March 29, 2025 increased $1.6 million, or 12.1%, as compared to the prior-year period, primarily due to a 13.5% increase in volume of products sold, primarily due to increased sales of chicken products to a QSR customer, partially offset by a 1.2% decrease in net revenue per pound. The decrease in net revenue per pound was primarily driven by changes in product sales mix and unfavorable changes in foreign currency exchange rates, partially offset by lower trade discounts and price increases of certain of our products. By product, the decrease in international foodservice channel net revenues was primarily due to decreased sales of Beyond Burger and chicken products, partially offset by increased sales of Beyond Sausage.</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consolidated volume of our products sold in pounds for the respective periods presented: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3060" w:type="dxa"/>
            <w:vAlign w:val="bottom"/>
            <w:gridSpan w:val="4"/>
          </w:tcPr>
          <w:p>
            <w:pPr>
              <w:ind w:left="700"/>
              <w:spacing w:after="0"/>
              <w:rPr>
                <w:sz w:val="20"/>
                <w:szCs w:val="20"/>
                <w:color w:val="auto"/>
              </w:rPr>
            </w:pPr>
            <w:r>
              <w:rPr>
                <w:rFonts w:ascii="Arial" w:cs="Arial" w:eastAsia="Arial" w:hAnsi="Arial"/>
                <w:sz w:val="16"/>
                <w:szCs w:val="16"/>
                <w:b w:val="1"/>
                <w:bCs w:val="1"/>
                <w:color w:val="auto"/>
              </w:rPr>
              <w:t>Three Months Ended</w:t>
            </w:r>
          </w:p>
        </w:tc>
        <w:tc>
          <w:tcPr>
            <w:tcW w:w="1780" w:type="dxa"/>
            <w:vAlign w:val="bottom"/>
            <w:gridSpan w:val="3"/>
          </w:tcPr>
          <w:p>
            <w:pPr>
              <w:ind w:left="1060"/>
              <w:spacing w:after="0"/>
              <w:rPr>
                <w:sz w:val="20"/>
                <w:szCs w:val="20"/>
                <w:color w:val="auto"/>
              </w:rPr>
            </w:pPr>
            <w:r>
              <w:rPr>
                <w:rFonts w:ascii="Arial" w:cs="Arial" w:eastAsia="Arial" w:hAnsi="Arial"/>
                <w:sz w:val="16"/>
                <w:szCs w:val="16"/>
                <w:b w:val="1"/>
                <w:bCs w:val="1"/>
                <w:color w:val="auto"/>
              </w:rPr>
              <w:t>Change</w:t>
            </w:r>
          </w:p>
        </w:tc>
        <w:tc>
          <w:tcPr>
            <w:tcW w:w="900" w:type="dxa"/>
            <w:vAlign w:val="bottom"/>
          </w:tcPr>
          <w:p>
            <w:pPr>
              <w:spacing w:after="0"/>
              <w:rPr>
                <w:sz w:val="18"/>
                <w:szCs w:val="18"/>
                <w:color w:val="auto"/>
              </w:rPr>
            </w:pPr>
          </w:p>
        </w:tc>
      </w:tr>
      <w:tr>
        <w:trPr>
          <w:trHeight w:val="165"/>
        </w:trPr>
        <w:tc>
          <w:tcPr>
            <w:tcW w:w="20" w:type="dxa"/>
            <w:vAlign w:val="bottom"/>
          </w:tcPr>
          <w:p>
            <w:pPr>
              <w:spacing w:after="0"/>
              <w:rPr>
                <w:sz w:val="14"/>
                <w:szCs w:val="14"/>
                <w:color w:val="auto"/>
              </w:rPr>
            </w:pPr>
          </w:p>
        </w:tc>
        <w:tc>
          <w:tcPr>
            <w:tcW w:w="5240" w:type="dxa"/>
            <w:vAlign w:val="bottom"/>
            <w:gridSpan w:val="2"/>
          </w:tcPr>
          <w:p>
            <w:pPr>
              <w:spacing w:after="0" w:line="165" w:lineRule="exact"/>
              <w:rPr>
                <w:sz w:val="20"/>
                <w:szCs w:val="20"/>
                <w:color w:val="auto"/>
              </w:rPr>
            </w:pPr>
            <w:r>
              <w:rPr>
                <w:rFonts w:ascii="Arial" w:cs="Arial" w:eastAsia="Arial" w:hAnsi="Arial"/>
                <w:sz w:val="16"/>
                <w:szCs w:val="16"/>
                <w:b w:val="1"/>
                <w:bCs w:val="1"/>
                <w:color w:val="auto"/>
              </w:rPr>
              <w:t>(in thousands)</w:t>
            </w:r>
          </w:p>
        </w:tc>
        <w:tc>
          <w:tcPr>
            <w:tcW w:w="1520" w:type="dxa"/>
            <w:vAlign w:val="bottom"/>
            <w:tcBorders>
              <w:top w:val="single" w:sz="8" w:color="auto"/>
            </w:tcBorders>
            <w:gridSpan w:val="2"/>
          </w:tcPr>
          <w:p>
            <w:pPr>
              <w:ind w:left="140"/>
              <w:spacing w:after="0" w:line="165" w:lineRule="exact"/>
              <w:rPr>
                <w:sz w:val="20"/>
                <w:szCs w:val="20"/>
                <w:color w:val="auto"/>
              </w:rPr>
            </w:pPr>
            <w:r>
              <w:rPr>
                <w:rFonts w:ascii="Arial" w:cs="Arial" w:eastAsia="Arial" w:hAnsi="Arial"/>
                <w:sz w:val="16"/>
                <w:szCs w:val="16"/>
                <w:b w:val="1"/>
                <w:bCs w:val="1"/>
                <w:color w:val="auto"/>
              </w:rPr>
              <w:t>March 29, 2025</w:t>
            </w:r>
          </w:p>
        </w:tc>
        <w:tc>
          <w:tcPr>
            <w:tcW w:w="1440" w:type="dxa"/>
            <w:vAlign w:val="bottom"/>
            <w:tcBorders>
              <w:top w:val="single" w:sz="8" w:color="auto"/>
            </w:tcBorders>
          </w:tcPr>
          <w:p>
            <w:pPr>
              <w:jc w:val="right"/>
              <w:ind w:right="53"/>
              <w:spacing w:after="0" w:line="165" w:lineRule="exact"/>
              <w:rPr>
                <w:sz w:val="20"/>
                <w:szCs w:val="20"/>
                <w:color w:val="auto"/>
              </w:rPr>
            </w:pPr>
            <w:r>
              <w:rPr>
                <w:rFonts w:ascii="Arial" w:cs="Arial" w:eastAsia="Arial" w:hAnsi="Arial"/>
                <w:sz w:val="16"/>
                <w:szCs w:val="16"/>
                <w:b w:val="1"/>
                <w:bCs w:val="1"/>
                <w:color w:val="auto"/>
              </w:rPr>
              <w:t>March 30, 2024</w:t>
            </w:r>
          </w:p>
        </w:tc>
        <w:tc>
          <w:tcPr>
            <w:tcW w:w="100" w:type="dxa"/>
            <w:vAlign w:val="bottom"/>
          </w:tcPr>
          <w:p>
            <w:pPr>
              <w:spacing w:after="0"/>
              <w:rPr>
                <w:sz w:val="14"/>
                <w:szCs w:val="14"/>
                <w:color w:val="auto"/>
              </w:rPr>
            </w:pPr>
          </w:p>
        </w:tc>
        <w:tc>
          <w:tcPr>
            <w:tcW w:w="1780" w:type="dxa"/>
            <w:vAlign w:val="bottom"/>
            <w:tcBorders>
              <w:top w:val="single" w:sz="8" w:color="auto"/>
            </w:tcBorders>
            <w:gridSpan w:val="3"/>
          </w:tcPr>
          <w:p>
            <w:pPr>
              <w:ind w:left="300"/>
              <w:spacing w:after="0" w:line="165" w:lineRule="exact"/>
              <w:rPr>
                <w:sz w:val="20"/>
                <w:szCs w:val="20"/>
                <w:color w:val="auto"/>
              </w:rPr>
            </w:pPr>
            <w:r>
              <w:rPr>
                <w:rFonts w:ascii="Arial" w:cs="Arial" w:eastAsia="Arial" w:hAnsi="Arial"/>
                <w:sz w:val="16"/>
                <w:szCs w:val="16"/>
                <w:b w:val="1"/>
                <w:bCs w:val="1"/>
                <w:color w:val="auto"/>
              </w:rPr>
              <w:t>Amount</w:t>
            </w:r>
          </w:p>
        </w:tc>
        <w:tc>
          <w:tcPr>
            <w:tcW w:w="900" w:type="dxa"/>
            <w:vAlign w:val="bottom"/>
            <w:tcBorders>
              <w:top w:val="single" w:sz="8" w:color="auto"/>
            </w:tcBorders>
          </w:tcPr>
          <w:p>
            <w:pPr>
              <w:jc w:val="right"/>
              <w:ind w:right="513"/>
              <w:spacing w:after="0" w:line="165" w:lineRule="exact"/>
              <w:rPr>
                <w:sz w:val="20"/>
                <w:szCs w:val="20"/>
                <w:color w:val="auto"/>
              </w:rPr>
            </w:pPr>
            <w:r>
              <w:rPr>
                <w:rFonts w:ascii="Arial" w:cs="Arial" w:eastAsia="Arial" w:hAnsi="Arial"/>
                <w:sz w:val="16"/>
                <w:szCs w:val="16"/>
                <w:b w:val="1"/>
                <w:bCs w:val="1"/>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5240" w:type="dxa"/>
            <w:vAlign w:val="bottom"/>
            <w:gridSpan w:val="2"/>
            <w:shd w:val="clear" w:color="auto" w:fill="CCEEFF"/>
          </w:tcPr>
          <w:p>
            <w:pPr>
              <w:ind w:left="120"/>
              <w:spacing w:after="0" w:line="205" w:lineRule="exact"/>
              <w:rPr>
                <w:sz w:val="20"/>
                <w:szCs w:val="20"/>
                <w:color w:val="auto"/>
              </w:rPr>
            </w:pPr>
            <w:r>
              <w:rPr>
                <w:rFonts w:ascii="Arial" w:cs="Arial" w:eastAsia="Arial" w:hAnsi="Arial"/>
                <w:sz w:val="18"/>
                <w:szCs w:val="18"/>
                <w:color w:val="auto"/>
              </w:rPr>
              <w:t>U.S.:</w:t>
            </w: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5240" w:type="dxa"/>
            <w:vAlign w:val="bottom"/>
            <w:gridSpan w:val="2"/>
          </w:tcPr>
          <w:p>
            <w:pPr>
              <w:ind w:left="280"/>
              <w:spacing w:after="0"/>
              <w:rPr>
                <w:sz w:val="20"/>
                <w:szCs w:val="20"/>
                <w:color w:val="auto"/>
              </w:rPr>
            </w:pPr>
            <w:r>
              <w:rPr>
                <w:rFonts w:ascii="Arial" w:cs="Arial" w:eastAsia="Arial" w:hAnsi="Arial"/>
                <w:sz w:val="18"/>
                <w:szCs w:val="18"/>
                <w:color w:val="auto"/>
              </w:rPr>
              <w:t>Retail</w:t>
            </w:r>
          </w:p>
        </w:tc>
        <w:tc>
          <w:tcPr>
            <w:tcW w:w="1420" w:type="dxa"/>
            <w:vAlign w:val="bottom"/>
          </w:tcPr>
          <w:p>
            <w:pPr>
              <w:jc w:val="right"/>
              <w:spacing w:after="0"/>
              <w:rPr>
                <w:sz w:val="20"/>
                <w:szCs w:val="20"/>
                <w:color w:val="auto"/>
              </w:rPr>
            </w:pPr>
            <w:r>
              <w:rPr>
                <w:rFonts w:ascii="Arial" w:cs="Arial" w:eastAsia="Arial" w:hAnsi="Arial"/>
                <w:sz w:val="18"/>
                <w:szCs w:val="18"/>
                <w:color w:val="auto"/>
              </w:rPr>
              <w:t>5,740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7,470</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(1,730)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25"/>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Foodservice</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25"/>
        </w:trPr>
        <w:tc>
          <w:tcPr>
            <w:tcW w:w="20" w:type="dxa"/>
            <w:vAlign w:val="bottom"/>
          </w:tcPr>
          <w:p>
            <w:pPr>
              <w:spacing w:after="0"/>
              <w:rPr>
                <w:sz w:val="19"/>
                <w:szCs w:val="19"/>
                <w:color w:val="auto"/>
              </w:rPr>
            </w:pPr>
          </w:p>
        </w:tc>
        <w:tc>
          <w:tcPr>
            <w:tcW w:w="5240" w:type="dxa"/>
            <w:vAlign w:val="bottom"/>
            <w:gridSpan w:val="2"/>
          </w:tcPr>
          <w:p>
            <w:pPr>
              <w:ind w:left="120"/>
              <w:spacing w:after="0"/>
              <w:rPr>
                <w:sz w:val="20"/>
                <w:szCs w:val="20"/>
                <w:color w:val="auto"/>
              </w:rPr>
            </w:pPr>
            <w:r>
              <w:rPr>
                <w:rFonts w:ascii="Arial" w:cs="Arial" w:eastAsia="Arial" w:hAnsi="Arial"/>
                <w:sz w:val="18"/>
                <w:szCs w:val="18"/>
                <w:color w:val="auto"/>
              </w:rPr>
              <w:t>International:</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5"/>
        </w:trPr>
        <w:tc>
          <w:tcPr>
            <w:tcW w:w="2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Retail</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25"/>
        </w:trPr>
        <w:tc>
          <w:tcPr>
            <w:tcW w:w="20" w:type="dxa"/>
            <w:vAlign w:val="bottom"/>
            <w:tcBorders>
              <w:bottom w:val="single" w:sz="8" w:color="CCEEFF"/>
            </w:tcBorders>
          </w:tcPr>
          <w:p>
            <w:pPr>
              <w:spacing w:after="0"/>
              <w:rPr>
                <w:sz w:val="19"/>
                <w:szCs w:val="19"/>
                <w:color w:val="auto"/>
              </w:rPr>
            </w:pPr>
          </w:p>
        </w:tc>
        <w:tc>
          <w:tcPr>
            <w:tcW w:w="524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Foodservice</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4,724</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4,163</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13.5 %</w:t>
            </w: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5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Volume of products sold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14,706</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16,569</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6" w:name="page57"/>
    <w:bookmarkEnd w:id="56"/>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0" w:type="dxa"/>
            <w:vAlign w:val="bottom"/>
            <w:gridSpan w:val="4"/>
          </w:tcPr>
          <w:p>
            <w:pPr>
              <w:ind w:left="600"/>
              <w:spacing w:after="0"/>
              <w:rPr>
                <w:sz w:val="20"/>
                <w:szCs w:val="20"/>
                <w:color w:val="auto"/>
              </w:rPr>
            </w:pPr>
            <w:r>
              <w:rPr>
                <w:rFonts w:ascii="Arial" w:cs="Arial" w:eastAsia="Arial" w:hAnsi="Arial"/>
                <w:sz w:val="16"/>
                <w:szCs w:val="16"/>
                <w:b w:val="1"/>
                <w:bCs w:val="1"/>
                <w:color w:val="auto"/>
              </w:rPr>
              <w:t>Three Months Ended</w:t>
            </w:r>
          </w:p>
        </w:tc>
        <w:tc>
          <w:tcPr>
            <w:tcW w:w="1800" w:type="dxa"/>
            <w:vAlign w:val="bottom"/>
            <w:gridSpan w:val="3"/>
          </w:tcPr>
          <w:p>
            <w:pPr>
              <w:ind w:left="1080"/>
              <w:spacing w:after="0"/>
              <w:rPr>
                <w:sz w:val="20"/>
                <w:szCs w:val="20"/>
                <w:color w:val="auto"/>
              </w:rPr>
            </w:pPr>
            <w:r>
              <w:rPr>
                <w:rFonts w:ascii="Arial" w:cs="Arial" w:eastAsia="Arial" w:hAnsi="Arial"/>
                <w:sz w:val="16"/>
                <w:szCs w:val="16"/>
                <w:b w:val="1"/>
                <w:bCs w:val="1"/>
                <w:color w:val="auto"/>
              </w:rPr>
              <w:t>Change</w:t>
            </w:r>
          </w:p>
        </w:tc>
        <w:tc>
          <w:tcPr>
            <w:tcW w:w="920" w:type="dxa"/>
            <w:vAlign w:val="bottom"/>
          </w:tcPr>
          <w:p>
            <w:pPr>
              <w:spacing w:after="0"/>
              <w:rPr>
                <w:sz w:val="18"/>
                <w:szCs w:val="18"/>
                <w:color w:val="auto"/>
              </w:rPr>
            </w:pPr>
          </w:p>
        </w:tc>
      </w:tr>
      <w:tr>
        <w:trPr>
          <w:trHeight w:val="166"/>
        </w:trPr>
        <w:tc>
          <w:tcPr>
            <w:tcW w:w="20" w:type="dxa"/>
            <w:vAlign w:val="bottom"/>
          </w:tcPr>
          <w:p>
            <w:pPr>
              <w:spacing w:after="0"/>
              <w:rPr>
                <w:sz w:val="14"/>
                <w:szCs w:val="14"/>
                <w:color w:val="auto"/>
              </w:rPr>
            </w:pPr>
          </w:p>
        </w:tc>
        <w:tc>
          <w:tcPr>
            <w:tcW w:w="5360" w:type="dxa"/>
            <w:vAlign w:val="bottom"/>
            <w:gridSpan w:val="2"/>
          </w:tcPr>
          <w:p>
            <w:pPr>
              <w:spacing w:after="0" w:line="165" w:lineRule="exact"/>
              <w:rPr>
                <w:sz w:val="20"/>
                <w:szCs w:val="20"/>
                <w:color w:val="auto"/>
              </w:rPr>
            </w:pPr>
            <w:r>
              <w:rPr>
                <w:rFonts w:ascii="Arial" w:cs="Arial" w:eastAsia="Arial" w:hAnsi="Arial"/>
                <w:sz w:val="16"/>
                <w:szCs w:val="16"/>
                <w:b w:val="1"/>
                <w:bCs w:val="1"/>
                <w:color w:val="auto"/>
              </w:rPr>
              <w:t>(in thousands)</w:t>
            </w:r>
          </w:p>
        </w:tc>
        <w:tc>
          <w:tcPr>
            <w:tcW w:w="1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gridSpan w:val="2"/>
          </w:tcPr>
          <w:p>
            <w:pPr>
              <w:ind w:left="40"/>
              <w:spacing w:after="0" w:line="165" w:lineRule="exact"/>
              <w:rPr>
                <w:sz w:val="20"/>
                <w:szCs w:val="20"/>
                <w:color w:val="auto"/>
              </w:rPr>
            </w:pPr>
            <w:r>
              <w:rPr>
                <w:rFonts w:ascii="Arial" w:cs="Arial" w:eastAsia="Arial" w:hAnsi="Arial"/>
                <w:sz w:val="16"/>
                <w:szCs w:val="16"/>
                <w:b w:val="1"/>
                <w:bCs w:val="1"/>
                <w:color w:val="auto"/>
              </w:rPr>
              <w:t>March 29, 2025</w:t>
            </w:r>
          </w:p>
        </w:tc>
        <w:tc>
          <w:tcPr>
            <w:tcW w:w="1460" w:type="dxa"/>
            <w:vAlign w:val="bottom"/>
            <w:tcBorders>
              <w:top w:val="single" w:sz="8" w:color="auto"/>
            </w:tcBorders>
          </w:tcPr>
          <w:p>
            <w:pPr>
              <w:jc w:val="right"/>
              <w:ind w:right="76"/>
              <w:spacing w:after="0" w:line="165" w:lineRule="exact"/>
              <w:rPr>
                <w:sz w:val="20"/>
                <w:szCs w:val="20"/>
                <w:color w:val="auto"/>
              </w:rPr>
            </w:pPr>
            <w:r>
              <w:rPr>
                <w:rFonts w:ascii="Arial" w:cs="Arial" w:eastAsia="Arial" w:hAnsi="Arial"/>
                <w:sz w:val="16"/>
                <w:szCs w:val="16"/>
                <w:b w:val="1"/>
                <w:bCs w:val="1"/>
                <w:color w:val="auto"/>
              </w:rPr>
              <w:t>March 30, 2024</w:t>
            </w:r>
          </w:p>
        </w:tc>
        <w:tc>
          <w:tcPr>
            <w:tcW w:w="100" w:type="dxa"/>
            <w:vAlign w:val="bottom"/>
          </w:tcPr>
          <w:p>
            <w:pPr>
              <w:spacing w:after="0"/>
              <w:rPr>
                <w:sz w:val="14"/>
                <w:szCs w:val="14"/>
                <w:color w:val="auto"/>
              </w:rPr>
            </w:pPr>
          </w:p>
        </w:tc>
        <w:tc>
          <w:tcPr>
            <w:tcW w:w="1800" w:type="dxa"/>
            <w:vAlign w:val="bottom"/>
            <w:tcBorders>
              <w:top w:val="single" w:sz="8" w:color="auto"/>
            </w:tcBorders>
            <w:gridSpan w:val="3"/>
          </w:tcPr>
          <w:p>
            <w:pPr>
              <w:ind w:left="320"/>
              <w:spacing w:after="0" w:line="165" w:lineRule="exact"/>
              <w:rPr>
                <w:sz w:val="20"/>
                <w:szCs w:val="20"/>
                <w:color w:val="auto"/>
              </w:rPr>
            </w:pPr>
            <w:r>
              <w:rPr>
                <w:rFonts w:ascii="Arial" w:cs="Arial" w:eastAsia="Arial" w:hAnsi="Arial"/>
                <w:sz w:val="16"/>
                <w:szCs w:val="16"/>
                <w:b w:val="1"/>
                <w:bCs w:val="1"/>
                <w:color w:val="auto"/>
              </w:rPr>
              <w:t>Amount</w:t>
            </w:r>
          </w:p>
        </w:tc>
        <w:tc>
          <w:tcPr>
            <w:tcW w:w="920" w:type="dxa"/>
            <w:vAlign w:val="bottom"/>
            <w:tcBorders>
              <w:top w:val="single" w:sz="8" w:color="auto"/>
            </w:tcBorders>
          </w:tcPr>
          <w:p>
            <w:pPr>
              <w:jc w:val="right"/>
              <w:ind w:right="536"/>
              <w:spacing w:after="0" w:line="165" w:lineRule="exact"/>
              <w:rPr>
                <w:sz w:val="20"/>
                <w:szCs w:val="20"/>
                <w:color w:val="auto"/>
              </w:rPr>
            </w:pPr>
            <w:r>
              <w:rPr>
                <w:rFonts w:ascii="Arial" w:cs="Arial" w:eastAsia="Arial" w:hAnsi="Arial"/>
                <w:sz w:val="16"/>
                <w:szCs w:val="16"/>
                <w:b w:val="1"/>
                <w:bCs w:val="1"/>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4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69,796</w:t>
            </w: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$71,935</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bl>
    <w:p>
      <w:pPr>
        <w:spacing w:after="0" w:line="248" w:lineRule="exact"/>
        <w:rPr>
          <w:sz w:val="20"/>
          <w:szCs w:val="20"/>
          <w:color w:val="auto"/>
        </w:rPr>
      </w:pPr>
    </w:p>
    <w:p>
      <w:pPr>
        <w:ind w:right="20" w:firstLine="318"/>
        <w:spacing w:after="0" w:line="289" w:lineRule="auto"/>
        <w:rPr>
          <w:sz w:val="20"/>
          <w:szCs w:val="20"/>
          <w:color w:val="auto"/>
        </w:rPr>
      </w:pPr>
      <w:r>
        <w:rPr>
          <w:rFonts w:ascii="Arial" w:cs="Arial" w:eastAsia="Arial" w:hAnsi="Arial"/>
          <w:sz w:val="17"/>
          <w:szCs w:val="17"/>
          <w:color w:val="auto"/>
        </w:rPr>
        <w:t>Cost of goods sold decreased $2.1 million, or 3.0%, to $69.8 million in the three months ended March 29, 2025 as compared to the prior-year period, primarily reflecting decreased volume of products sold, partially offset by increased net revenue per pound. Cost of goods sold in the three months ended March 29, 2025 included $4.3 million in non-cash charges arising from specific strategic decisions to increase inventory provision for certain inventory items, and $0.9 million in expenses related to the suspension of our operational activities in China, as discussed above. Cost of goods sold increased on a per pound basis, primarily reflecting higher inventory provision and higher manufacturing costs, including depreciation, partially offset by lower materials costs and lower logistics costs. As a percentage of net revenues, cost of goods sold increased to 101.5% of net revenues in the three months ended March 29, 2025 from 95.1% of net revenues in the prior-year period.</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Gross (Loss) Profit and Gross Margin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380" w:type="dxa"/>
            <w:vAlign w:val="bottom"/>
            <w:gridSpan w:val="4"/>
          </w:tcPr>
          <w:p>
            <w:pPr>
              <w:ind w:left="84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1580" w:type="dxa"/>
            <w:vAlign w:val="bottom"/>
          </w:tcPr>
          <w:p>
            <w:pPr>
              <w:jc w:val="right"/>
              <w:ind w:right="76"/>
              <w:spacing w:after="0"/>
              <w:rPr>
                <w:sz w:val="20"/>
                <w:szCs w:val="20"/>
                <w:color w:val="auto"/>
              </w:rPr>
            </w:pPr>
            <w:r>
              <w:rPr>
                <w:rFonts w:ascii="Arial" w:cs="Arial" w:eastAsia="Arial" w:hAnsi="Arial"/>
                <w:sz w:val="16"/>
                <w:szCs w:val="16"/>
                <w:b w:val="1"/>
                <w:bCs w:val="1"/>
                <w:color w:val="auto"/>
              </w:rPr>
              <w:t>Change</w:t>
            </w:r>
          </w:p>
        </w:tc>
        <w:tc>
          <w:tcPr>
            <w:tcW w:w="900" w:type="dxa"/>
            <w:vAlign w:val="bottom"/>
          </w:tcPr>
          <w:p>
            <w:pPr>
              <w:spacing w:after="0"/>
              <w:rPr>
                <w:sz w:val="18"/>
                <w:szCs w:val="18"/>
                <w:color w:val="auto"/>
              </w:rPr>
            </w:pPr>
          </w:p>
        </w:tc>
      </w:tr>
      <w:tr>
        <w:trPr>
          <w:trHeight w:val="166"/>
        </w:trPr>
        <w:tc>
          <w:tcPr>
            <w:tcW w:w="20" w:type="dxa"/>
            <w:vAlign w:val="bottom"/>
          </w:tcPr>
          <w:p>
            <w:pPr>
              <w:spacing w:after="0"/>
              <w:rPr>
                <w:sz w:val="14"/>
                <w:szCs w:val="14"/>
                <w:color w:val="auto"/>
              </w:rPr>
            </w:pPr>
          </w:p>
        </w:tc>
        <w:tc>
          <w:tcPr>
            <w:tcW w:w="5160" w:type="dxa"/>
            <w:vAlign w:val="bottom"/>
            <w:gridSpan w:val="2"/>
          </w:tcPr>
          <w:p>
            <w:pPr>
              <w:spacing w:after="0" w:line="165" w:lineRule="exact"/>
              <w:rPr>
                <w:sz w:val="20"/>
                <w:szCs w:val="20"/>
                <w:color w:val="auto"/>
              </w:rPr>
            </w:pPr>
            <w:r>
              <w:rPr>
                <w:rFonts w:ascii="Arial" w:cs="Arial" w:eastAsia="Arial" w:hAnsi="Arial"/>
                <w:sz w:val="16"/>
                <w:szCs w:val="16"/>
                <w:b w:val="1"/>
                <w:bCs w:val="1"/>
                <w:color w:val="auto"/>
              </w:rPr>
              <w:t>(in thousands)</w:t>
            </w:r>
          </w:p>
        </w:tc>
        <w:tc>
          <w:tcPr>
            <w:tcW w:w="1680" w:type="dxa"/>
            <w:vAlign w:val="bottom"/>
            <w:tcBorders>
              <w:top w:val="single" w:sz="8" w:color="auto"/>
            </w:tcBorders>
            <w:gridSpan w:val="2"/>
          </w:tcPr>
          <w:p>
            <w:pPr>
              <w:ind w:left="220"/>
              <w:spacing w:after="0" w:line="165" w:lineRule="exact"/>
              <w:rPr>
                <w:sz w:val="20"/>
                <w:szCs w:val="20"/>
                <w:color w:val="auto"/>
              </w:rPr>
            </w:pPr>
            <w:r>
              <w:rPr>
                <w:rFonts w:ascii="Arial" w:cs="Arial" w:eastAsia="Arial" w:hAnsi="Arial"/>
                <w:sz w:val="16"/>
                <w:szCs w:val="16"/>
                <w:b w:val="1"/>
                <w:bCs w:val="1"/>
                <w:color w:val="auto"/>
              </w:rPr>
              <w:t>March 29, 2025</w:t>
            </w:r>
          </w:p>
        </w:tc>
        <w:tc>
          <w:tcPr>
            <w:tcW w:w="1580" w:type="dxa"/>
            <w:vAlign w:val="bottom"/>
            <w:tcBorders>
              <w:top w:val="single" w:sz="8" w:color="auto"/>
            </w:tcBorders>
          </w:tcPr>
          <w:p>
            <w:pPr>
              <w:jc w:val="right"/>
              <w:ind w:right="135"/>
              <w:spacing w:after="0" w:line="165" w:lineRule="exact"/>
              <w:rPr>
                <w:sz w:val="20"/>
                <w:szCs w:val="20"/>
                <w:color w:val="auto"/>
              </w:rPr>
            </w:pPr>
            <w:r>
              <w:rPr>
                <w:rFonts w:ascii="Arial" w:cs="Arial" w:eastAsia="Arial" w:hAnsi="Arial"/>
                <w:sz w:val="16"/>
                <w:szCs w:val="16"/>
                <w:b w:val="1"/>
                <w:bCs w:val="1"/>
                <w:color w:val="auto"/>
              </w:rPr>
              <w:t>March 30, 2024</w:t>
            </w: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jc w:val="right"/>
              <w:ind w:right="796"/>
              <w:spacing w:after="0" w:line="165" w:lineRule="exact"/>
              <w:rPr>
                <w:sz w:val="20"/>
                <w:szCs w:val="20"/>
                <w:color w:val="auto"/>
              </w:rPr>
            </w:pPr>
            <w:r>
              <w:rPr>
                <w:rFonts w:ascii="Arial" w:cs="Arial" w:eastAsia="Arial" w:hAnsi="Arial"/>
                <w:sz w:val="16"/>
                <w:szCs w:val="16"/>
                <w:b w:val="1"/>
                <w:bCs w:val="1"/>
                <w:color w:val="auto"/>
              </w:rPr>
              <w:t>Amount</w:t>
            </w:r>
          </w:p>
        </w:tc>
        <w:tc>
          <w:tcPr>
            <w:tcW w:w="900" w:type="dxa"/>
            <w:vAlign w:val="bottom"/>
            <w:tcBorders>
              <w:top w:val="single" w:sz="8" w:color="auto"/>
            </w:tcBorders>
          </w:tcPr>
          <w:p>
            <w:pPr>
              <w:jc w:val="right"/>
              <w:ind w:right="515"/>
              <w:spacing w:after="0" w:line="165" w:lineRule="exact"/>
              <w:rPr>
                <w:sz w:val="20"/>
                <w:szCs w:val="20"/>
                <w:color w:val="auto"/>
              </w:rPr>
            </w:pPr>
            <w:r>
              <w:rPr>
                <w:rFonts w:ascii="Arial" w:cs="Arial" w:eastAsia="Arial" w:hAnsi="Arial"/>
                <w:sz w:val="16"/>
                <w:szCs w:val="16"/>
                <w:b w:val="1"/>
                <w:bCs w:val="1"/>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406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(loss) profit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516"/>
              <w:spacing w:after="0"/>
              <w:rPr>
                <w:sz w:val="20"/>
                <w:szCs w:val="20"/>
                <w:color w:val="auto"/>
              </w:rPr>
            </w:pPr>
            <w:r>
              <w:rPr>
                <w:rFonts w:ascii="Arial" w:cs="Arial" w:eastAsia="Arial" w:hAnsi="Arial"/>
                <w:sz w:val="18"/>
                <w:szCs w:val="18"/>
                <w:color w:val="auto"/>
              </w:rPr>
              <w:t>(4,733)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r>
      <w:tr>
        <w:trPr>
          <w:trHeight w:val="232"/>
        </w:trPr>
        <w:tc>
          <w:tcPr>
            <w:tcW w:w="2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15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4.9 %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ind w:right="496"/>
              <w:spacing w:after="0"/>
              <w:rPr>
                <w:sz w:val="20"/>
                <w:szCs w:val="20"/>
                <w:color w:val="auto"/>
              </w:rPr>
            </w:pPr>
            <w:r>
              <w:rPr>
                <w:rFonts w:ascii="Arial" w:cs="Arial" w:eastAsia="Arial" w:hAnsi="Arial"/>
                <w:sz w:val="18"/>
                <w:szCs w:val="18"/>
                <w:color w:val="auto"/>
              </w:rPr>
              <w:t>N/A</w:t>
            </w:r>
          </w:p>
        </w:tc>
        <w:tc>
          <w:tcPr>
            <w:tcW w:w="900" w:type="dxa"/>
            <w:vAlign w:val="bottom"/>
          </w:tcPr>
          <w:p>
            <w:pPr>
              <w:jc w:val="right"/>
              <w:spacing w:after="0"/>
              <w:rPr>
                <w:sz w:val="20"/>
                <w:szCs w:val="20"/>
                <w:color w:val="auto"/>
              </w:rPr>
            </w:pPr>
            <w:r>
              <w:rPr>
                <w:rFonts w:ascii="Arial" w:cs="Arial" w:eastAsia="Arial" w:hAnsi="Arial"/>
                <w:sz w:val="18"/>
                <w:szCs w:val="18"/>
                <w:color w:val="auto"/>
              </w:rPr>
              <w:t>N/A</w:t>
            </w:r>
          </w:p>
        </w:tc>
      </w:tr>
    </w:tbl>
    <w:p>
      <w:pPr>
        <w:spacing w:after="0" w:line="242" w:lineRule="exact"/>
        <w:rPr>
          <w:sz w:val="20"/>
          <w:szCs w:val="20"/>
          <w:color w:val="auto"/>
        </w:rPr>
      </w:pPr>
    </w:p>
    <w:p>
      <w:pPr>
        <w:ind w:firstLine="318"/>
        <w:spacing w:after="0" w:line="271" w:lineRule="auto"/>
        <w:rPr>
          <w:sz w:val="20"/>
          <w:szCs w:val="20"/>
          <w:color w:val="auto"/>
        </w:rPr>
      </w:pPr>
      <w:r>
        <w:rPr>
          <w:rFonts w:ascii="Arial" w:cs="Arial" w:eastAsia="Arial" w:hAnsi="Arial"/>
          <w:sz w:val="18"/>
          <w:szCs w:val="18"/>
          <w:color w:val="auto"/>
        </w:rPr>
        <w:t>Gross profit in the three months ended March 29, 2025 was a loss of $1.1 million as compared to gross profit of $3.7 million in the prior-year period, a decrease of $4.7 million or (129.0)%. Gross margin in the three months ended March 29, 2025 was (1.5)% as compared to gross margin of 4.9% in the prior-year period. Gross profit and gross margin in the three months ended March 29, 2025 included $4.3 million in non-cash charges arising from specific strategic decisions to increase inventory provision for certain inventory items, and $0.9 million in expenses related to the suspension of our operational activities in China, as discussed above. Gross profit and gross margin in the three months ended March 29, 2025 were negatively impacted by a 9.4% increase in cost of goods sold per pound, partially offset by a 2.4% increase in net revenue per pound.</w:t>
      </w:r>
    </w:p>
    <w:p>
      <w:pPr>
        <w:spacing w:after="0" w:line="126" w:lineRule="exact"/>
        <w:rPr>
          <w:sz w:val="20"/>
          <w:szCs w:val="20"/>
          <w:color w:val="auto"/>
        </w:rPr>
      </w:pPr>
    </w:p>
    <w:p>
      <w:pPr>
        <w:ind w:right="80" w:firstLine="318"/>
        <w:spacing w:after="0" w:line="275" w:lineRule="auto"/>
        <w:rPr>
          <w:sz w:val="20"/>
          <w:szCs w:val="20"/>
          <w:color w:val="auto"/>
        </w:rPr>
      </w:pPr>
      <w:r>
        <w:rPr>
          <w:rFonts w:ascii="Arial" w:cs="Arial" w:eastAsia="Arial" w:hAnsi="Arial"/>
          <w:sz w:val="18"/>
          <w:szCs w:val="18"/>
          <w:color w:val="auto"/>
        </w:rPr>
        <w:t xml:space="preserve">As disclosed in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w:t>
      </w:r>
      <w:r>
        <w:rPr>
          <w:rFonts w:ascii="Arial" w:cs="Arial" w:eastAsia="Arial" w:hAnsi="Arial"/>
          <w:sz w:val="18"/>
          <w:szCs w:val="18"/>
          <w:i w:val="1"/>
          <w:iCs w:val="1"/>
          <w:color w:val="auto"/>
        </w:rPr>
        <w:t>Summary of Significant Accounting Policies—Shipping and Handling Costs</w:t>
      </w:r>
      <w:r>
        <w:rPr>
          <w:rFonts w:ascii="Arial" w:cs="Arial" w:eastAsia="Arial" w:hAnsi="Arial"/>
          <w:sz w:val="18"/>
          <w:szCs w:val="18"/>
          <w:color w:val="auto"/>
        </w:rPr>
        <w:t>, in the Notes to Unaudited Condensed Consolidated Financial Statements included elsewhere in this report, we include outbound shipping and handling costs within SG&amp;A expenses. As a result, our gross profit and gross margin may not be comparable to other entities that present all shipping and handling costs as a component of cost of goods sold.</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20" w:type="dxa"/>
            <w:vAlign w:val="bottom"/>
            <w:gridSpan w:val="5"/>
          </w:tcPr>
          <w:p>
            <w:pPr>
              <w:ind w:left="62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8"/>
                <w:szCs w:val="18"/>
                <w:color w:val="auto"/>
              </w:rPr>
            </w:pPr>
          </w:p>
        </w:tc>
        <w:tc>
          <w:tcPr>
            <w:tcW w:w="1600" w:type="dxa"/>
            <w:vAlign w:val="bottom"/>
            <w:gridSpan w:val="3"/>
          </w:tcPr>
          <w:p>
            <w:pPr>
              <w:ind w:left="860"/>
              <w:spacing w:after="0"/>
              <w:rPr>
                <w:sz w:val="20"/>
                <w:szCs w:val="20"/>
                <w:color w:val="auto"/>
              </w:rPr>
            </w:pPr>
            <w:r>
              <w:rPr>
                <w:rFonts w:ascii="Arial" w:cs="Arial" w:eastAsia="Arial" w:hAnsi="Arial"/>
                <w:sz w:val="16"/>
                <w:szCs w:val="16"/>
                <w:b w:val="1"/>
                <w:bCs w:val="1"/>
                <w:color w:val="auto"/>
              </w:rPr>
              <w:t>Change</w:t>
            </w:r>
          </w:p>
        </w:tc>
        <w:tc>
          <w:tcPr>
            <w:tcW w:w="920" w:type="dxa"/>
            <w:vAlign w:val="bottom"/>
          </w:tcPr>
          <w:p>
            <w:pPr>
              <w:spacing w:after="0"/>
              <w:rPr>
                <w:sz w:val="18"/>
                <w:szCs w:val="18"/>
                <w:color w:val="auto"/>
              </w:rPr>
            </w:pPr>
          </w:p>
        </w:tc>
      </w:tr>
      <w:tr>
        <w:trPr>
          <w:trHeight w:val="165"/>
        </w:trPr>
        <w:tc>
          <w:tcPr>
            <w:tcW w:w="20" w:type="dxa"/>
            <w:vAlign w:val="bottom"/>
          </w:tcPr>
          <w:p>
            <w:pPr>
              <w:spacing w:after="0"/>
              <w:rPr>
                <w:sz w:val="14"/>
                <w:szCs w:val="14"/>
                <w:color w:val="auto"/>
              </w:rPr>
            </w:pPr>
          </w:p>
        </w:tc>
        <w:tc>
          <w:tcPr>
            <w:tcW w:w="5320" w:type="dxa"/>
            <w:vAlign w:val="bottom"/>
            <w:gridSpan w:val="2"/>
          </w:tcPr>
          <w:p>
            <w:pPr>
              <w:spacing w:after="0" w:line="165" w:lineRule="exact"/>
              <w:rPr>
                <w:sz w:val="20"/>
                <w:szCs w:val="20"/>
                <w:color w:val="auto"/>
              </w:rPr>
            </w:pPr>
            <w:r>
              <w:rPr>
                <w:rFonts w:ascii="Arial" w:cs="Arial" w:eastAsia="Arial" w:hAnsi="Arial"/>
                <w:sz w:val="16"/>
                <w:szCs w:val="16"/>
                <w:b w:val="1"/>
                <w:bCs w:val="1"/>
                <w:color w:val="auto"/>
              </w:rPr>
              <w:t>(in thousands)</w:t>
            </w:r>
          </w:p>
        </w:tc>
        <w:tc>
          <w:tcPr>
            <w:tcW w:w="14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gridSpan w:val="2"/>
          </w:tcPr>
          <w:p>
            <w:pPr>
              <w:ind w:left="40"/>
              <w:spacing w:after="0" w:line="165" w:lineRule="exact"/>
              <w:rPr>
                <w:sz w:val="20"/>
                <w:szCs w:val="20"/>
                <w:color w:val="auto"/>
              </w:rPr>
            </w:pPr>
            <w:r>
              <w:rPr>
                <w:rFonts w:ascii="Arial" w:cs="Arial" w:eastAsia="Arial" w:hAnsi="Arial"/>
                <w:sz w:val="16"/>
                <w:szCs w:val="16"/>
                <w:b w:val="1"/>
                <w:bCs w:val="1"/>
                <w:color w:val="auto"/>
              </w:rPr>
              <w:t>March 29, 2025</w:t>
            </w:r>
          </w:p>
        </w:tc>
        <w:tc>
          <w:tcPr>
            <w:tcW w:w="1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96"/>
              <w:spacing w:after="0" w:line="165" w:lineRule="exact"/>
              <w:rPr>
                <w:sz w:val="20"/>
                <w:szCs w:val="20"/>
                <w:color w:val="auto"/>
              </w:rPr>
            </w:pPr>
            <w:r>
              <w:rPr>
                <w:rFonts w:ascii="Arial" w:cs="Arial" w:eastAsia="Arial" w:hAnsi="Arial"/>
                <w:sz w:val="16"/>
                <w:szCs w:val="16"/>
                <w:b w:val="1"/>
                <w:bCs w:val="1"/>
                <w:color w:val="auto"/>
              </w:rPr>
              <w:t>March 30, 2024</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gridSpan w:val="3"/>
          </w:tcPr>
          <w:p>
            <w:pPr>
              <w:ind w:left="100"/>
              <w:spacing w:after="0" w:line="165" w:lineRule="exact"/>
              <w:rPr>
                <w:sz w:val="20"/>
                <w:szCs w:val="20"/>
                <w:color w:val="auto"/>
              </w:rPr>
            </w:pPr>
            <w:r>
              <w:rPr>
                <w:rFonts w:ascii="Arial" w:cs="Arial" w:eastAsia="Arial" w:hAnsi="Arial"/>
                <w:sz w:val="16"/>
                <w:szCs w:val="16"/>
                <w:b w:val="1"/>
                <w:bCs w:val="1"/>
                <w:color w:val="auto"/>
              </w:rPr>
              <w:t>Amount</w:t>
            </w:r>
          </w:p>
        </w:tc>
        <w:tc>
          <w:tcPr>
            <w:tcW w:w="920" w:type="dxa"/>
            <w:vAlign w:val="bottom"/>
            <w:tcBorders>
              <w:top w:val="single" w:sz="8" w:color="auto"/>
            </w:tcBorders>
          </w:tcPr>
          <w:p>
            <w:pPr>
              <w:jc w:val="right"/>
              <w:ind w:right="536"/>
              <w:spacing w:after="0" w:line="165" w:lineRule="exact"/>
              <w:rPr>
                <w:sz w:val="20"/>
                <w:szCs w:val="20"/>
                <w:color w:val="auto"/>
              </w:rPr>
            </w:pPr>
            <w:r>
              <w:rPr>
                <w:rFonts w:ascii="Arial" w:cs="Arial" w:eastAsia="Arial" w:hAnsi="Arial"/>
                <w:sz w:val="16"/>
                <w:szCs w:val="16"/>
                <w:b w:val="1"/>
                <w:bCs w:val="1"/>
                <w:color w:val="auto"/>
              </w:rPr>
              <w: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r>
    </w:tbl>
    <w:p>
      <w:pPr>
        <w:spacing w:after="0" w:line="248" w:lineRule="exact"/>
        <w:rPr>
          <w:sz w:val="20"/>
          <w:szCs w:val="20"/>
          <w:color w:val="auto"/>
        </w:rPr>
      </w:pPr>
    </w:p>
    <w:p>
      <w:pPr>
        <w:ind w:right="40" w:firstLine="318"/>
        <w:spacing w:after="0" w:line="275" w:lineRule="auto"/>
        <w:rPr>
          <w:sz w:val="20"/>
          <w:szCs w:val="20"/>
          <w:color w:val="auto"/>
        </w:rPr>
      </w:pPr>
      <w:r>
        <w:rPr>
          <w:rFonts w:ascii="Arial" w:cs="Arial" w:eastAsia="Arial" w:hAnsi="Arial"/>
          <w:sz w:val="18"/>
          <w:szCs w:val="18"/>
          <w:color w:val="auto"/>
        </w:rPr>
        <w:t>Research and development expenses in the three months ended March 29, 2025 decreased $2.4 million, or 24.3%, as compared to the prior-year period. Research and development expenses decreased to 10.9% of net revenues in the three months ended March 29, 2025 from 13.0% of net revenues in the prior-year period. The decrease in research and development expenses was primarily due to lower trial production and scale-up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expenses, partially offset by $0.8 million in accelerated depreciation related to the suspension of our operational activities in China.</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SG&amp;A Expenses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20" w:type="dxa"/>
            <w:vAlign w:val="bottom"/>
            <w:gridSpan w:val="5"/>
          </w:tcPr>
          <w:p>
            <w:pPr>
              <w:ind w:left="60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8"/>
                <w:szCs w:val="18"/>
                <w:color w:val="auto"/>
              </w:rPr>
            </w:pPr>
          </w:p>
        </w:tc>
        <w:tc>
          <w:tcPr>
            <w:tcW w:w="158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920" w:type="dxa"/>
            <w:vAlign w:val="bottom"/>
          </w:tcPr>
          <w:p>
            <w:pPr>
              <w:spacing w:after="0"/>
              <w:rPr>
                <w:sz w:val="18"/>
                <w:szCs w:val="18"/>
                <w:color w:val="auto"/>
              </w:rPr>
            </w:pPr>
          </w:p>
        </w:tc>
      </w:tr>
      <w:tr>
        <w:trPr>
          <w:trHeight w:val="205"/>
        </w:trPr>
        <w:tc>
          <w:tcPr>
            <w:tcW w:w="536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March 29, 2025</w:t>
            </w: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ind w:right="76"/>
              <w:spacing w:after="0"/>
              <w:rPr>
                <w:sz w:val="20"/>
                <w:szCs w:val="20"/>
                <w:color w:val="auto"/>
              </w:rPr>
            </w:pPr>
            <w:r>
              <w:rPr>
                <w:rFonts w:ascii="Arial" w:cs="Arial" w:eastAsia="Arial" w:hAnsi="Arial"/>
                <w:sz w:val="16"/>
                <w:szCs w:val="16"/>
                <w:b w:val="1"/>
                <w:bCs w:val="1"/>
                <w:color w:val="auto"/>
              </w:rPr>
              <w:t>March 30, 2024</w:t>
            </w: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Amount</w:t>
            </w:r>
          </w:p>
        </w:tc>
        <w:tc>
          <w:tcPr>
            <w:tcW w:w="920" w:type="dxa"/>
            <w:vAlign w:val="bottom"/>
            <w:tcBorders>
              <w:top w:val="single" w:sz="8" w:color="auto"/>
            </w:tcBorders>
          </w:tcPr>
          <w:p>
            <w:pPr>
              <w:jc w:val="right"/>
              <w:ind w:right="536"/>
              <w:spacing w:after="0"/>
              <w:rPr>
                <w:sz w:val="20"/>
                <w:szCs w:val="20"/>
                <w:color w:val="auto"/>
              </w:rPr>
            </w:pPr>
            <w:r>
              <w:rPr>
                <w:rFonts w:ascii="Arial" w:cs="Arial" w:eastAsia="Arial" w:hAnsi="Arial"/>
                <w:sz w:val="16"/>
                <w:szCs w:val="16"/>
                <w:b w:val="1"/>
                <w:bCs w:val="1"/>
                <w:color w:val="auto"/>
              </w:rPr>
              <w:t>%</w:t>
            </w:r>
          </w:p>
        </w:tc>
      </w:tr>
      <w:tr>
        <w:trPr>
          <w:trHeight w:val="218"/>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47,672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47,282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0.8 %</w:t>
            </w:r>
          </w:p>
        </w:tc>
      </w:tr>
    </w:tbl>
    <w:p>
      <w:pPr>
        <w:spacing w:after="0" w:line="248" w:lineRule="exact"/>
        <w:rPr>
          <w:sz w:val="20"/>
          <w:szCs w:val="20"/>
          <w:color w:val="auto"/>
        </w:rPr>
      </w:pPr>
    </w:p>
    <w:p>
      <w:pPr>
        <w:ind w:right="40" w:firstLine="318"/>
        <w:spacing w:after="0" w:line="268" w:lineRule="auto"/>
        <w:rPr>
          <w:sz w:val="20"/>
          <w:szCs w:val="20"/>
          <w:color w:val="auto"/>
        </w:rPr>
      </w:pPr>
      <w:r>
        <w:rPr>
          <w:rFonts w:ascii="Arial" w:cs="Arial" w:eastAsia="Arial" w:hAnsi="Arial"/>
          <w:sz w:val="18"/>
          <w:szCs w:val="18"/>
          <w:color w:val="auto"/>
        </w:rPr>
        <w:t>SG&amp;A expenses in the three months ended March 29, 2025 increased $0.4 million, or 0.8%, to $47.7 million or 69.4% of net revenues in the three months ended March 29, 2025, from $47.3 million or 62.6% of net revenues in the prior-year period. The increase in SG&amp;A expenses was primarily due to $4.9 million in higher product donations including $1.3 million in non-cash charges arising from specific strategic decisions to increase inventory provision for donation of certain inventory items, $2.9 million in higher salaries and related expenses including $1.6 million in severance costs related to the 2025 RIF and China RIF, and $1.1 million in higher marketing expenses, partially offset by $8.0 million in lower legal expenses, $1.2 million in lower supply chain related expenses, $0.7 million in lower advertising expenses and $0.7 million in lower outbound freight expense. SG&amp;A expenses in the three months ended March 29, 2025 were also negatively impacted by $4.6 million in incremental legal fees associated with arbitration proceedings related to a contractual dispute with a former co-manufacturer, and $0.4 million in asset write-offs related to the suspension of our operational activities in China, as discussed above. SG&amp;A expenses in the three months ended March 30, 2024 were negatively impacted by $7.5 million in SG&amp;A expenses related to a class action settlement agreement in connection with the settlement of certain consumer class action lawsuits that originated in 2022.</w:t>
      </w:r>
    </w:p>
    <w:p>
      <w:pPr>
        <w:spacing w:after="0" w:line="13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177" w:lineRule="exact"/>
        <w:rPr>
          <w:sz w:val="20"/>
          <w:szCs w:val="20"/>
          <w:color w:val="auto"/>
        </w:rPr>
      </w:pPr>
    </w:p>
    <w:p>
      <w:pPr>
        <w:ind w:right="40" w:firstLine="318"/>
        <w:spacing w:after="0" w:line="275" w:lineRule="auto"/>
        <w:rPr>
          <w:sz w:val="20"/>
          <w:szCs w:val="20"/>
          <w:color w:val="auto"/>
        </w:rPr>
      </w:pPr>
      <w:r>
        <w:rPr>
          <w:rFonts w:ascii="Arial" w:cs="Arial" w:eastAsia="Arial" w:hAnsi="Arial"/>
          <w:sz w:val="18"/>
          <w:szCs w:val="18"/>
          <w:color w:val="auto"/>
        </w:rPr>
        <w:t>Loss from operations in the three months ended March 29, 2025 was $56.2 million as compared to $53.5 million in the prior-year period. The increase in loss from operations was driven by the reduction in gross profit, partially offset by the decrease in operating expenses. Loss from operations in the three months ended March 30, 2024 was negatively impacted by $7.5 million in SG&amp;A expenses related to a class action settlement agreement in connection with the settlement of certain consumer class action lawsuits that originated in 2022.</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Total Other Income (Expense), Net</w:t>
      </w:r>
    </w:p>
    <w:p>
      <w:pPr>
        <w:spacing w:after="0" w:line="177" w:lineRule="exact"/>
        <w:rPr>
          <w:sz w:val="20"/>
          <w:szCs w:val="20"/>
          <w:color w:val="auto"/>
        </w:rPr>
      </w:pPr>
    </w:p>
    <w:p>
      <w:pPr>
        <w:ind w:right="200" w:firstLine="318"/>
        <w:spacing w:after="0" w:line="275" w:lineRule="auto"/>
        <w:rPr>
          <w:sz w:val="20"/>
          <w:szCs w:val="20"/>
          <w:color w:val="auto"/>
        </w:rPr>
      </w:pPr>
      <w:r>
        <w:rPr>
          <w:rFonts w:ascii="Arial" w:cs="Arial" w:eastAsia="Arial" w:hAnsi="Arial"/>
          <w:sz w:val="18"/>
          <w:szCs w:val="18"/>
          <w:color w:val="auto"/>
        </w:rPr>
        <w:t>Total other income (expense), net, in the three months ended March 29, 2025 of $3.3 million consisted primarily of $3.5 million in net realized and unrealized foreign currency transaction gains due to favorable changes in foreign currency exchange rates of the Euro and Chinese Yuan and $0.9 million in interest income, partially offset by $(1.0) million in interest expense from the amortization of convertible debt issuance costs.</w:t>
      </w:r>
    </w:p>
    <w:p>
      <w:pPr>
        <w:spacing w:after="0" w:line="125" w:lineRule="exact"/>
        <w:rPr>
          <w:sz w:val="20"/>
          <w:szCs w:val="20"/>
          <w:color w:val="auto"/>
        </w:rPr>
      </w:pPr>
    </w:p>
    <w:p>
      <w:pPr>
        <w:ind w:right="100" w:firstLine="318"/>
        <w:spacing w:after="0" w:line="276" w:lineRule="auto"/>
        <w:rPr>
          <w:sz w:val="20"/>
          <w:szCs w:val="20"/>
          <w:color w:val="auto"/>
        </w:rPr>
      </w:pPr>
      <w:r>
        <w:rPr>
          <w:rFonts w:ascii="Arial" w:cs="Arial" w:eastAsia="Arial" w:hAnsi="Arial"/>
          <w:sz w:val="18"/>
          <w:szCs w:val="18"/>
          <w:color w:val="auto"/>
        </w:rPr>
        <w:t>Total other (expense) income, net, in the three months ended March 30, 2024 of $(0.9) million consisted primarily of $(2.3) million in net realized and unrealized foreign currency transaction losses due to unfavorable changes in foreign currency exchange rates of the Euro and the Chinese Yuan and $(1.0) million in interest expense from the amortization of convertible debt issuance costs, partially offset by $2.0 million in interest income and $0.5 million in subsidies received from the Jiaxing Economic Development Zone Finance Bureau related to our investment in our subsidiary, Beyond Meat (Jiaxing) Food Co., Ltd. (“BYND JX”).</w:t>
      </w:r>
    </w:p>
    <w:p>
      <w:pPr>
        <w:spacing w:after="0" w:line="10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Net Loss</w:t>
      </w:r>
    </w:p>
    <w:p>
      <w:pPr>
        <w:spacing w:after="0" w:line="177" w:lineRule="exact"/>
        <w:rPr>
          <w:sz w:val="20"/>
          <w:szCs w:val="20"/>
          <w:color w:val="auto"/>
        </w:rPr>
      </w:pPr>
    </w:p>
    <w:p>
      <w:pPr>
        <w:ind w:right="20" w:firstLine="318"/>
        <w:spacing w:after="0" w:line="275" w:lineRule="auto"/>
        <w:rPr>
          <w:sz w:val="20"/>
          <w:szCs w:val="20"/>
          <w:color w:val="auto"/>
        </w:rPr>
      </w:pPr>
      <w:r>
        <w:rPr>
          <w:rFonts w:ascii="Arial" w:cs="Arial" w:eastAsia="Arial" w:hAnsi="Arial"/>
          <w:sz w:val="18"/>
          <w:szCs w:val="18"/>
          <w:color w:val="auto"/>
        </w:rPr>
        <w:t>Net loss in the three months ended March 29, 2025 was $52.9 million, compared to $54.4 million in the prior-year period. Net loss per share available to common stockholders in the three months ended March 29, 2025 was $(0.69), compared to $(0.84) in the prior year. The decrease in net loss was primarily driven by the increase in total other income, net, partially offset by the increase in loss from operations. Net loss in the three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27" w:lineRule="exact"/>
        <w:rPr>
          <w:sz w:val="20"/>
          <w:szCs w:val="20"/>
          <w:color w:val="auto"/>
        </w:rPr>
      </w:pPr>
    </w:p>
    <w:p>
      <w:pPr>
        <w:ind w:right="300"/>
        <w:spacing w:after="0" w:line="290" w:lineRule="auto"/>
        <w:rPr>
          <w:sz w:val="20"/>
          <w:szCs w:val="20"/>
          <w:color w:val="auto"/>
        </w:rPr>
      </w:pPr>
      <w:r>
        <w:rPr>
          <w:rFonts w:ascii="Arial" w:cs="Arial" w:eastAsia="Arial" w:hAnsi="Arial"/>
          <w:sz w:val="18"/>
          <w:szCs w:val="18"/>
          <w:color w:val="auto"/>
        </w:rPr>
        <w:t>months ended March 30, 2024 was negatively impacted by $7.5 million in SG&amp;A expenses related to a class action settlement agreement in connection with the settlement of certain consumer class action lawsuits that originated in 2022.</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9" w:lineRule="exact"/>
        <w:rPr>
          <w:sz w:val="20"/>
          <w:szCs w:val="20"/>
          <w:color w:val="auto"/>
        </w:rPr>
      </w:pPr>
    </w:p>
    <w:p>
      <w:pPr>
        <w:ind w:firstLine="318"/>
        <w:spacing w:after="0" w:line="289" w:lineRule="auto"/>
        <w:rPr>
          <w:sz w:val="20"/>
          <w:szCs w:val="20"/>
          <w:color w:val="auto"/>
        </w:rPr>
      </w:pPr>
      <w:r>
        <w:rPr>
          <w:rFonts w:ascii="Arial" w:cs="Arial" w:eastAsia="Arial" w:hAnsi="Arial"/>
          <w:sz w:val="17"/>
          <w:szCs w:val="17"/>
          <w:color w:val="auto"/>
        </w:rPr>
        <w:t>We use the non-GAAP financial measures set forth below in assessing our operating performance and in our financial communications. Management believes these non-GAAP financial measures provide useful additional information to investors about current trends in our operations and are useful for period-over-period comparisons of operations. In addition, management uses these non-GAAP financial measures to assess operating performance and for business planning purposes. Management also believes these measures are widely used by investors, securities analysts, rating agencies and other parties in evaluating companies in our industry as a measure of our operational performance. These non-GAAP financial measures should not be considered in isolation or as substitutes for the comparable GAAP measures. In addition, these non-GAAP financial measures may not be computed in the same manner as similarly titled measures used by other companies.</w:t>
      </w:r>
    </w:p>
    <w:p>
      <w:pPr>
        <w:spacing w:after="0" w:line="115" w:lineRule="exact"/>
        <w:rPr>
          <w:sz w:val="20"/>
          <w:szCs w:val="20"/>
          <w:color w:val="auto"/>
        </w:rPr>
      </w:pPr>
    </w:p>
    <w:p>
      <w:pPr>
        <w:ind w:right="180" w:firstLine="318"/>
        <w:spacing w:after="0" w:line="283" w:lineRule="auto"/>
        <w:rPr>
          <w:sz w:val="20"/>
          <w:szCs w:val="20"/>
          <w:color w:val="auto"/>
        </w:rPr>
      </w:pPr>
      <w:r>
        <w:rPr>
          <w:rFonts w:ascii="Arial" w:cs="Arial" w:eastAsia="Arial" w:hAnsi="Arial"/>
          <w:sz w:val="18"/>
          <w:szCs w:val="18"/>
          <w:color w:val="auto"/>
        </w:rPr>
        <w:t>“Adjusted EBITDA” is defined as net loss adjusted to exclude, when applicable, income tax expense, interest expense, depreciation and amortization expense, share-based compensation expense, non-cash charges related to the suspension of our operational activities in China, accrued litigation settlement costs and Other, net, including interest income and foreign currency transaction gains and losses.</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“Adjusted EBITDA as a % of net revenues” is defined as Adjusted EBITDA divided by net revenues.</w:t>
      </w:r>
    </w:p>
    <w:p>
      <w:pPr>
        <w:spacing w:after="0" w:line="177" w:lineRule="exact"/>
        <w:rPr>
          <w:sz w:val="20"/>
          <w:szCs w:val="20"/>
          <w:color w:val="auto"/>
        </w:rPr>
      </w:pPr>
    </w:p>
    <w:p>
      <w:pPr>
        <w:ind w:right="380" w:firstLine="318"/>
        <w:spacing w:after="0" w:line="305" w:lineRule="auto"/>
        <w:rPr>
          <w:sz w:val="20"/>
          <w:szCs w:val="20"/>
          <w:color w:val="auto"/>
        </w:rPr>
      </w:pPr>
      <w:r>
        <w:rPr>
          <w:rFonts w:ascii="Arial" w:cs="Arial" w:eastAsia="Arial" w:hAnsi="Arial"/>
          <w:sz w:val="18"/>
          <w:szCs w:val="18"/>
          <w:color w:val="auto"/>
        </w:rPr>
        <w:t>There are a number of limitations related to the use of Adjusted EBITDA and Adjusted EBITDA as a % of net revenues rather than their most directly comparable GAAP measures. Some of these limitations are:</w:t>
      </w:r>
    </w:p>
    <w:p>
      <w:pPr>
        <w:spacing w:after="0" w:line="97" w:lineRule="exact"/>
        <w:rPr>
          <w:sz w:val="20"/>
          <w:szCs w:val="20"/>
          <w:color w:val="auto"/>
        </w:rPr>
      </w:pPr>
    </w:p>
    <w:p>
      <w:pPr>
        <w:ind w:left="640" w:right="540" w:hanging="316"/>
        <w:spacing w:after="0" w:line="290"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expense and, although these are non-cash expenses, the assets being depreciated may have to be replaced in the future increasing our cash requirements;</w:t>
      </w:r>
    </w:p>
    <w:p>
      <w:pPr>
        <w:spacing w:after="0" w:line="122"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Adjusted EBITDA does not reflect interest expense, or the cash required to service our debt, which reduces cash available to us;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Adjusted EBITDA does not reflect income tax payments that reduce cash available to us;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Adjusted EBITDA does not reflect share-based compensation expense and therefore does not include all of our compensation costs;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Adjusted EBITDA does not reflect accrued litigation settlement costs which reduce cash available to us;</w:t>
      </w:r>
    </w:p>
    <w:p>
      <w:pPr>
        <w:spacing w:after="0" w:line="177" w:lineRule="exact"/>
        <w:rPr>
          <w:rFonts w:ascii="Arial" w:cs="Arial" w:eastAsia="Arial" w:hAnsi="Arial"/>
          <w:sz w:val="18"/>
          <w:szCs w:val="18"/>
          <w:color w:val="auto"/>
        </w:rPr>
      </w:pPr>
    </w:p>
    <w:p>
      <w:pPr>
        <w:ind w:left="640" w:right="400" w:hanging="316"/>
        <w:spacing w:after="0" w:line="305"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Adjusted EBITDA does not reflect Other, net, including interest income and foreign currency transaction gains and losses, that may increase or decrease cash available to us; and</w:t>
      </w:r>
    </w:p>
    <w:p>
      <w:pPr>
        <w:spacing w:after="0" w:line="96" w:lineRule="exact"/>
        <w:rPr>
          <w:rFonts w:ascii="Arial" w:cs="Arial" w:eastAsia="Arial" w:hAnsi="Arial"/>
          <w:sz w:val="18"/>
          <w:szCs w:val="18"/>
          <w:color w:val="auto"/>
        </w:rPr>
      </w:pPr>
    </w:p>
    <w:p>
      <w:pPr>
        <w:ind w:left="640" w:right="320" w:hanging="316"/>
        <w:spacing w:after="0" w:line="290"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27" w:lineRule="exact"/>
        <w:rPr>
          <w:sz w:val="20"/>
          <w:szCs w:val="20"/>
          <w:color w:val="auto"/>
        </w:rPr>
      </w:pPr>
    </w:p>
    <w:p>
      <w:pPr>
        <w:ind w:right="920" w:firstLine="318"/>
        <w:spacing w:after="0" w:line="290" w:lineRule="auto"/>
        <w:rPr>
          <w:sz w:val="20"/>
          <w:szCs w:val="20"/>
          <w:color w:val="auto"/>
        </w:rPr>
      </w:pPr>
      <w:r>
        <w:rPr>
          <w:rFonts w:ascii="Arial" w:cs="Arial" w:eastAsia="Arial" w:hAnsi="Arial"/>
          <w:sz w:val="18"/>
          <w:szCs w:val="18"/>
          <w:color w:val="auto"/>
        </w:rPr>
        <w:t>The following table presents the reconciliation of Adjusted EBITDA to its most comparable GAAP measure, net loss, as reported (unaudited):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980" w:type="dxa"/>
            <w:vAlign w:val="bottom"/>
            <w:gridSpan w:val="2"/>
          </w:tcPr>
          <w:p>
            <w:pPr>
              <w:spacing w:after="0" w:line="165" w:lineRule="exact"/>
              <w:rPr>
                <w:sz w:val="20"/>
                <w:szCs w:val="20"/>
                <w:color w:val="auto"/>
              </w:rPr>
            </w:pPr>
            <w:r>
              <w:rPr>
                <w:rFonts w:ascii="Arial" w:cs="Arial" w:eastAsia="Arial" w:hAnsi="Arial"/>
                <w:sz w:val="16"/>
                <w:szCs w:val="16"/>
                <w:b w:val="1"/>
                <w:bCs w:val="1"/>
                <w:color w:val="auto"/>
              </w:rPr>
              <w:t>(in thousands)</w:t>
            </w:r>
          </w:p>
        </w:tc>
        <w:tc>
          <w:tcPr>
            <w:tcW w:w="160" w:type="dxa"/>
            <w:vAlign w:val="bottom"/>
          </w:tcPr>
          <w:p>
            <w:pPr>
              <w:spacing w:after="0"/>
              <w:rPr>
                <w:sz w:val="14"/>
                <w:szCs w:val="14"/>
                <w:color w:val="auto"/>
              </w:rPr>
            </w:pPr>
          </w:p>
        </w:tc>
        <w:tc>
          <w:tcPr>
            <w:tcW w:w="1520" w:type="dxa"/>
            <w:vAlign w:val="bottom"/>
            <w:gridSpan w:val="2"/>
          </w:tcPr>
          <w:p>
            <w:pPr>
              <w:ind w:left="60"/>
              <w:spacing w:after="0" w:line="165" w:lineRule="exact"/>
              <w:rPr>
                <w:sz w:val="20"/>
                <w:szCs w:val="20"/>
                <w:color w:val="auto"/>
              </w:rPr>
            </w:pPr>
            <w:r>
              <w:rPr>
                <w:rFonts w:ascii="Arial" w:cs="Arial" w:eastAsia="Arial" w:hAnsi="Arial"/>
                <w:sz w:val="16"/>
                <w:szCs w:val="16"/>
                <w:b w:val="1"/>
                <w:bCs w:val="1"/>
                <w:color w:val="auto"/>
              </w:rPr>
              <w:t>March 29, 2025</w:t>
            </w:r>
          </w:p>
        </w:tc>
        <w:tc>
          <w:tcPr>
            <w:tcW w:w="160" w:type="dxa"/>
            <w:vAlign w:val="bottom"/>
          </w:tcPr>
          <w:p>
            <w:pPr>
              <w:spacing w:after="0"/>
              <w:rPr>
                <w:sz w:val="14"/>
                <w:szCs w:val="14"/>
                <w:color w:val="auto"/>
              </w:rPr>
            </w:pPr>
          </w:p>
        </w:tc>
        <w:tc>
          <w:tcPr>
            <w:tcW w:w="1400" w:type="dxa"/>
            <w:vAlign w:val="bottom"/>
          </w:tcPr>
          <w:p>
            <w:pPr>
              <w:jc w:val="right"/>
              <w:ind w:right="132"/>
              <w:spacing w:after="0" w:line="165" w:lineRule="exact"/>
              <w:rPr>
                <w:sz w:val="20"/>
                <w:szCs w:val="20"/>
                <w:color w:val="auto"/>
              </w:rPr>
            </w:pPr>
            <w:r>
              <w:rPr>
                <w:rFonts w:ascii="Arial" w:cs="Arial" w:eastAsia="Arial" w:hAnsi="Arial"/>
                <w:sz w:val="16"/>
                <w:szCs w:val="16"/>
                <w:b w:val="1"/>
                <w:bCs w:val="1"/>
                <w:color w:val="auto"/>
              </w:rPr>
              <w:t>March 30, 2024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as reported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(52,916)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(54,361)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9"/>
                <w:szCs w:val="19"/>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1,024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980" w:type="dxa"/>
            <w:vAlign w:val="bottom"/>
            <w:gridSpan w:val="2"/>
          </w:tcPr>
          <w:p>
            <w:pPr>
              <w:spacing w:after="0" w:line="225" w:lineRule="exact"/>
              <w:rPr>
                <w:sz w:val="20"/>
                <w:szCs w:val="20"/>
                <w:color w:val="auto"/>
              </w:rPr>
            </w:pPr>
            <w:r>
              <w:rPr>
                <w:rFonts w:ascii="Arial" w:cs="Arial" w:eastAsia="Arial" w:hAnsi="Arial"/>
                <w:sz w:val="18"/>
                <w:szCs w:val="18"/>
                <w:color w:val="auto"/>
              </w:rPr>
              <w:t>Depreciation and amortization expense</w:t>
            </w:r>
            <w:r>
              <w:rPr>
                <w:rFonts w:ascii="Arial" w:cs="Arial" w:eastAsia="Arial" w:hAnsi="Arial"/>
                <w:sz w:val="22"/>
                <w:szCs w:val="22"/>
                <w:color w:val="auto"/>
                <w:vertAlign w:val="superscript"/>
              </w:rPr>
              <w:t>(1)</w:t>
            </w:r>
          </w:p>
        </w:tc>
        <w:tc>
          <w:tcPr>
            <w:tcW w:w="160" w:type="dxa"/>
            <w:vAlign w:val="bottom"/>
          </w:tcPr>
          <w:p>
            <w:pPr>
              <w:spacing w:after="0"/>
              <w:rPr>
                <w:sz w:val="19"/>
                <w:szCs w:val="19"/>
                <w:color w:val="auto"/>
              </w:rPr>
            </w:pPr>
          </w:p>
        </w:tc>
        <w:tc>
          <w:tcPr>
            <w:tcW w:w="1420" w:type="dxa"/>
            <w:vAlign w:val="bottom"/>
          </w:tcPr>
          <w:p>
            <w:pPr>
              <w:jc w:val="right"/>
              <w:ind w:right="153"/>
              <w:spacing w:after="0"/>
              <w:rPr>
                <w:sz w:val="20"/>
                <w:szCs w:val="20"/>
                <w:color w:val="auto"/>
              </w:rPr>
            </w:pPr>
            <w:r>
              <w:rPr>
                <w:rFonts w:ascii="Arial" w:cs="Arial" w:eastAsia="Arial" w:hAnsi="Arial"/>
                <w:sz w:val="18"/>
                <w:szCs w:val="18"/>
                <w:color w:val="auto"/>
              </w:rPr>
              <w:t>5,945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6,969</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5,853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6,075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980" w:type="dxa"/>
            <w:vAlign w:val="bottom"/>
            <w:gridSpan w:val="2"/>
          </w:tcPr>
          <w:p>
            <w:pPr>
              <w:spacing w:after="0" w:line="225" w:lineRule="exact"/>
              <w:rPr>
                <w:sz w:val="20"/>
                <w:szCs w:val="20"/>
                <w:color w:val="auto"/>
              </w:rPr>
            </w:pPr>
            <w:r>
              <w:rPr>
                <w:rFonts w:ascii="Arial" w:cs="Arial" w:eastAsia="Arial" w:hAnsi="Arial"/>
                <w:sz w:val="18"/>
                <w:szCs w:val="18"/>
                <w:color w:val="auto"/>
              </w:rPr>
              <w:t>Non-cash charges related to suspension of operational activities in China</w:t>
            </w:r>
            <w:r>
              <w:rPr>
                <w:rFonts w:ascii="Arial" w:cs="Arial" w:eastAsia="Arial" w:hAnsi="Arial"/>
                <w:sz w:val="22"/>
                <w:szCs w:val="22"/>
                <w:color w:val="auto"/>
                <w:vertAlign w:val="superscript"/>
              </w:rPr>
              <w:t>(2)</w:t>
            </w:r>
          </w:p>
        </w:tc>
        <w:tc>
          <w:tcPr>
            <w:tcW w:w="160" w:type="dxa"/>
            <w:vAlign w:val="bottom"/>
          </w:tcPr>
          <w:p>
            <w:pPr>
              <w:spacing w:after="0"/>
              <w:rPr>
                <w:sz w:val="19"/>
                <w:szCs w:val="19"/>
                <w:color w:val="auto"/>
              </w:rPr>
            </w:pPr>
          </w:p>
        </w:tc>
        <w:tc>
          <w:tcPr>
            <w:tcW w:w="1420" w:type="dxa"/>
            <w:vAlign w:val="bottom"/>
          </w:tcPr>
          <w:p>
            <w:pPr>
              <w:jc w:val="right"/>
              <w:ind w:right="153"/>
              <w:spacing w:after="0"/>
              <w:rPr>
                <w:sz w:val="20"/>
                <w:szCs w:val="20"/>
                <w:color w:val="auto"/>
              </w:rPr>
            </w:pPr>
            <w:r>
              <w:rPr>
                <w:rFonts w:ascii="Arial" w:cs="Arial" w:eastAsia="Arial" w:hAnsi="Arial"/>
                <w:sz w:val="18"/>
                <w:szCs w:val="18"/>
                <w:color w:val="auto"/>
              </w:rPr>
              <w:t>2,083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litigation settlement costs</w:t>
            </w: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7980" w:type="dxa"/>
            <w:vAlign w:val="bottom"/>
            <w:tcBorders>
              <w:bottom w:val="single" w:sz="8" w:color="CCEEFF"/>
            </w:tcBorders>
            <w:gridSpan w:val="2"/>
          </w:tcPr>
          <w:p>
            <w:pPr>
              <w:spacing w:after="0" w:line="225" w:lineRule="exact"/>
              <w:rPr>
                <w:sz w:val="20"/>
                <w:szCs w:val="20"/>
                <w:color w:val="auto"/>
              </w:rPr>
            </w:pPr>
            <w:r>
              <w:rPr>
                <w:rFonts w:ascii="Arial" w:cs="Arial" w:eastAsia="Arial" w:hAnsi="Arial"/>
                <w:sz w:val="18"/>
                <w:szCs w:val="18"/>
                <w:color w:val="auto"/>
              </w:rPr>
              <w:t>Other, net</w:t>
            </w:r>
            <w:r>
              <w:rPr>
                <w:rFonts w:ascii="Arial" w:cs="Arial" w:eastAsia="Arial" w:hAnsi="Arial"/>
                <w:sz w:val="22"/>
                <w:szCs w:val="22"/>
                <w:color w:val="auto"/>
                <w:vertAlign w:val="superscript"/>
              </w:rPr>
              <w:t>(3)(4)</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(4,318)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7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(42,329)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(32,923)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9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Net loss as a % of net revenues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798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line="198" w:lineRule="exact"/>
              <w:rPr>
                <w:sz w:val="20"/>
                <w:szCs w:val="20"/>
                <w:color w:val="auto"/>
              </w:rPr>
            </w:pPr>
            <w:r>
              <w:rPr>
                <w:rFonts w:ascii="Arial" w:cs="Arial" w:eastAsia="Arial" w:hAnsi="Arial"/>
                <w:sz w:val="18"/>
                <w:szCs w:val="18"/>
                <w:color w:val="auto"/>
              </w:rPr>
              <w:t>(77.0)%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line="198" w:lineRule="exact"/>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 as a % of net revenues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6"/>
          <w:szCs w:val="16"/>
          <w:color w:val="auto"/>
        </w:rPr>
        <w:t>_____________</w:t>
      </w:r>
    </w:p>
    <w:p>
      <w:pPr>
        <w:spacing w:after="0" w:line="227" w:lineRule="exact"/>
        <w:rPr>
          <w:sz w:val="20"/>
          <w:szCs w:val="20"/>
          <w:color w:val="auto"/>
        </w:rPr>
      </w:pPr>
    </w:p>
    <w:p>
      <w:pPr>
        <w:ind w:left="440" w:hanging="416"/>
        <w:spacing w:after="0"/>
        <w:tabs>
          <w:tab w:leader="none" w:pos="4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Excludes $1.5 million in accelerated depreciation related to suspension of operational activities in China in the three months ended March 29, 2025.</w:t>
      </w:r>
    </w:p>
    <w:p>
      <w:pPr>
        <w:spacing w:after="0" w:line="107" w:lineRule="exact"/>
        <w:rPr>
          <w:rFonts w:ascii="Arial" w:cs="Arial" w:eastAsia="Arial" w:hAnsi="Arial"/>
          <w:sz w:val="16"/>
          <w:szCs w:val="16"/>
          <w:color w:val="auto"/>
        </w:rPr>
      </w:pPr>
    </w:p>
    <w:p>
      <w:pPr>
        <w:ind w:left="440" w:right="520" w:hanging="416"/>
        <w:spacing w:after="0" w:line="275" w:lineRule="auto"/>
        <w:tabs>
          <w:tab w:leader="none" w:pos="4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Includes accelerated depreciation and asset write-offs related to suspension of operational activities in China in the three months ended March 29, 2025.</w:t>
      </w:r>
    </w:p>
    <w:p>
      <w:pPr>
        <w:spacing w:after="0" w:line="15" w:lineRule="exact"/>
        <w:rPr>
          <w:rFonts w:ascii="Arial" w:cs="Arial" w:eastAsia="Arial" w:hAnsi="Arial"/>
          <w:sz w:val="16"/>
          <w:szCs w:val="16"/>
          <w:color w:val="auto"/>
        </w:rPr>
      </w:pPr>
    </w:p>
    <w:p>
      <w:pPr>
        <w:ind w:left="440" w:right="1060" w:hanging="416"/>
        <w:spacing w:after="0" w:line="275" w:lineRule="auto"/>
        <w:tabs>
          <w:tab w:leader="none" w:pos="4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Includes $3.5 million and $(2.3) million in net realized and unrealized foreign currency transaction gains (losses) in the three months ended March 29, 2025 and March 30, 2024, respectively.</w:t>
      </w:r>
    </w:p>
    <w:p>
      <w:pPr>
        <w:spacing w:after="0" w:line="68" w:lineRule="exact"/>
        <w:rPr>
          <w:rFonts w:ascii="Arial" w:cs="Arial" w:eastAsia="Arial" w:hAnsi="Arial"/>
          <w:sz w:val="16"/>
          <w:szCs w:val="16"/>
          <w:color w:val="auto"/>
        </w:rPr>
      </w:pPr>
    </w:p>
    <w:p>
      <w:pPr>
        <w:ind w:left="440" w:right="460" w:hanging="416"/>
        <w:spacing w:after="0" w:line="258" w:lineRule="auto"/>
        <w:tabs>
          <w:tab w:leader="none" w:pos="4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Includes $0.9 million and $2.0 million in interest income in the three months ended March 29, 2025 and March 30, 2024, respectively. Includes $0.5 million in subsidies received from the Jiaxing Economic Development Zone Finance Bureau related to our investment in BYND JX in the three months ended March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ATM Program</w:t>
      </w:r>
    </w:p>
    <w:p>
      <w:pPr>
        <w:spacing w:after="0" w:line="177" w:lineRule="exact"/>
        <w:rPr>
          <w:sz w:val="20"/>
          <w:szCs w:val="20"/>
          <w:color w:val="auto"/>
        </w:rPr>
      </w:pPr>
    </w:p>
    <w:p>
      <w:pPr>
        <w:ind w:right="40" w:firstLine="318"/>
        <w:spacing w:after="0" w:line="272" w:lineRule="auto"/>
        <w:rPr>
          <w:sz w:val="20"/>
          <w:szCs w:val="20"/>
          <w:color w:val="auto"/>
        </w:rPr>
      </w:pPr>
      <w:r>
        <w:rPr>
          <w:rFonts w:ascii="Arial" w:cs="Arial" w:eastAsia="Arial" w:hAnsi="Arial"/>
          <w:sz w:val="18"/>
          <w:szCs w:val="18"/>
          <w:color w:val="auto"/>
        </w:rPr>
        <w:t>On March 18, 2024, we filed a shelf registration statement on Form S-3 (the “Shelf Registration Statement”) registering an indeterminate amount of our common stock, preferred stock, debt securities, warrants, purchase contracts and units (collectively, “Company securities”). The Shelf Registration Statement allows us to sell, from time to time and at our discretion, Company securities having an aggregate offering price of up to $250.0 million including shares of common stock that may be sold pursuant to our Equity Distribution Agreement with B. Riley, as sales agent (the “Equity Distribution Agreement”), under an “at the market” offering program (the “ATM Program”).</w:t>
      </w:r>
    </w:p>
    <w:p>
      <w:pPr>
        <w:spacing w:after="0" w:line="126"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Pursuant to the Equity Distribution Agreement, we may offer and sell common stock having an aggregate offering price of up to $200.0 million from time to time to or through B. Riley, subject to our compliance with applicable laws and applicable requirements of the Equity Distribution Agreement. The Equity Distribution Agreement stipulates that we will pay B. Riley a commission equal to up to 3.0% of the gross offering proceeds of any shares of common stock sold through B. Riley pursuant to the Equity Distribution Agreement. We intend to use the net proceeds from sales of common stock issued under the ATM Program for general corporate and working capital purposes. The timing of any sales and the number of shares sold, if any, will depend on a variety of factors to be determined and considered by us, and we are not obligated to sell any shares under the Equity Distribution Agreement.</w:t>
      </w:r>
    </w:p>
    <w:p>
      <w:pPr>
        <w:spacing w:after="0" w:line="140" w:lineRule="exact"/>
        <w:rPr>
          <w:sz w:val="20"/>
          <w:szCs w:val="20"/>
          <w:color w:val="auto"/>
        </w:rPr>
      </w:pPr>
    </w:p>
    <w:p>
      <w:pPr>
        <w:ind w:right="20" w:firstLine="318"/>
        <w:spacing w:after="0" w:line="284" w:lineRule="auto"/>
        <w:rPr>
          <w:sz w:val="20"/>
          <w:szCs w:val="20"/>
          <w:color w:val="auto"/>
        </w:rPr>
      </w:pPr>
      <w:r>
        <w:rPr>
          <w:rFonts w:ascii="Arial" w:cs="Arial" w:eastAsia="Arial" w:hAnsi="Arial"/>
          <w:sz w:val="17"/>
          <w:szCs w:val="17"/>
          <w:color w:val="auto"/>
        </w:rPr>
        <w:t>As of March 29, 2025 and December 31, 2024, 9,750,312 shares of common stock had been sold under the ATM Program since inception for an aggregate offering price of $48.3 million. There were no sales of common stock made under the ATM Program in the three months ended March 29, 2025. Total issuance costs related to the ATM Program as of March 29, 2025 and December 31, 2024 were approximately</w:t>
      </w:r>
    </w:p>
    <w:p>
      <w:pPr>
        <w:spacing w:after="0" w:line="2" w:lineRule="exact"/>
        <w:rPr>
          <w:sz w:val="20"/>
          <w:szCs w:val="20"/>
          <w:color w:val="auto"/>
        </w:rPr>
      </w:pPr>
    </w:p>
    <w:p>
      <w:pPr>
        <w:ind w:right="20"/>
        <w:spacing w:after="0" w:line="282" w:lineRule="auto"/>
        <w:rPr>
          <w:sz w:val="20"/>
          <w:szCs w:val="20"/>
          <w:color w:val="auto"/>
        </w:rPr>
      </w:pPr>
      <w:r>
        <w:rPr>
          <w:rFonts w:ascii="Arial" w:cs="Arial" w:eastAsia="Arial" w:hAnsi="Arial"/>
          <w:sz w:val="17"/>
          <w:szCs w:val="17"/>
          <w:color w:val="auto"/>
        </w:rPr>
        <w:t>$3.3 million, resulting in aggregate net proceeds of approximately $45.0 million. Of the total issuance costs related to the ATM Program, $0 and $0.3 million remained unpaid as of March 29, 2025 and December 31, 2024, respectively. In the year ended December 31, 2024, approximately $1.6 million was capitalized to reflect the costs associated with the issuance of new shares of common stock and offset against proceeds from the ATM Program. Unamortized issuance costs related to the ATM Program included in Prepaid expenses and other current assets were</w:t>
      </w:r>
    </w:p>
    <w:p>
      <w:pPr>
        <w:spacing w:after="0" w:line="2" w:lineRule="exact"/>
        <w:rPr>
          <w:sz w:val="20"/>
          <w:szCs w:val="20"/>
          <w:color w:val="auto"/>
        </w:rPr>
      </w:pPr>
    </w:p>
    <w:p>
      <w:pPr>
        <w:ind w:right="420"/>
        <w:spacing w:after="0" w:line="290" w:lineRule="auto"/>
        <w:rPr>
          <w:sz w:val="20"/>
          <w:szCs w:val="20"/>
          <w:color w:val="auto"/>
        </w:rPr>
      </w:pPr>
      <w:r>
        <w:rPr>
          <w:rFonts w:ascii="Arial" w:cs="Arial" w:eastAsia="Arial" w:hAnsi="Arial"/>
          <w:sz w:val="18"/>
          <w:szCs w:val="18"/>
          <w:color w:val="auto"/>
        </w:rPr>
        <w:t>$1.7 million as of March 29, 2025 and December 31, 2024. As of March 29, 2025 and December 31, 2024, approximately $201.7 million in capacity remained available under the Shelf Registration Statement.</w:t>
      </w:r>
    </w:p>
    <w:p>
      <w:pPr>
        <w:spacing w:after="0" w:line="9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177" w:lineRule="exact"/>
        <w:rPr>
          <w:sz w:val="20"/>
          <w:szCs w:val="20"/>
          <w:color w:val="auto"/>
        </w:rPr>
      </w:pPr>
    </w:p>
    <w:p>
      <w:pPr>
        <w:ind w:right="100" w:firstLine="318"/>
        <w:spacing w:after="0" w:line="275" w:lineRule="auto"/>
        <w:rPr>
          <w:sz w:val="20"/>
          <w:szCs w:val="20"/>
          <w:color w:val="auto"/>
        </w:rPr>
      </w:pPr>
      <w:r>
        <w:rPr>
          <w:rFonts w:ascii="Arial" w:cs="Arial" w:eastAsia="Arial" w:hAnsi="Arial"/>
          <w:sz w:val="18"/>
          <w:szCs w:val="18"/>
          <w:color w:val="auto"/>
        </w:rPr>
        <w:t xml:space="preserve">In 2021, we issued a total of $1.15 billion aggregate principal amount of 0% Convertible Senior Notes due 2027 (the “Notes”) in a private placement to qualified institutional buyers pursuant to Rule 144A under the Securities Act of 1933, as amended (the “Securities Act”). For a discussion about the Notes, see </w:t>
      </w:r>
      <w:r>
        <w:rPr>
          <w:rFonts w:ascii="Arial" w:cs="Arial" w:eastAsia="Arial" w:hAnsi="Arial"/>
          <w:sz w:val="18"/>
          <w:szCs w:val="18"/>
          <w:u w:val="single" w:color="auto"/>
          <w:color w:val="0000FF"/>
        </w:rPr>
        <w:t>Note 6</w:t>
      </w:r>
      <w:r>
        <w:rPr>
          <w:rFonts w:ascii="Arial" w:cs="Arial" w:eastAsia="Arial" w:hAnsi="Arial"/>
          <w:sz w:val="18"/>
          <w:szCs w:val="18"/>
          <w:color w:val="auto"/>
        </w:rPr>
        <w:t>, Debt, to the Notes to Unaudited Condensed Consolidated Financial Statements included elsewhere in this report.</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Loan and Security Agreement; Warrant Agreement</w:t>
      </w:r>
    </w:p>
    <w:p>
      <w:pPr>
        <w:spacing w:after="0" w:line="177" w:lineRule="exact"/>
        <w:rPr>
          <w:sz w:val="20"/>
          <w:szCs w:val="20"/>
          <w:color w:val="auto"/>
        </w:rPr>
      </w:pPr>
    </w:p>
    <w:p>
      <w:pPr>
        <w:ind w:right="20" w:firstLine="318"/>
        <w:spacing w:after="0" w:line="287" w:lineRule="auto"/>
        <w:rPr>
          <w:sz w:val="20"/>
          <w:szCs w:val="20"/>
          <w:color w:val="auto"/>
        </w:rPr>
      </w:pPr>
      <w:r>
        <w:rPr>
          <w:rFonts w:ascii="Arial" w:cs="Arial" w:eastAsia="Arial" w:hAnsi="Arial"/>
          <w:sz w:val="17"/>
          <w:szCs w:val="17"/>
          <w:color w:val="auto"/>
        </w:rPr>
        <w:t>On May 7, 2025, we, as the borrower, entered into a Loan and Security Agreement (the “Loan and Security Agreement”) with Unprocessed Foods, LLC, an affiliate of the Ahimsa Foundation, as lender (“Unprocessed Foods”), other lenders party thereto (together with Unprocessed Foods, the “Lenders”) and certain of our subsidiaries, as guarantors, pursuant to which the Lenders agreed to provide for a senior secured delayed draw term loan facility (the “Delayed Draw Term Loan Facility” and the loans thereunder, the “Delayed Draw Term Loans”) in an aggregate principal amount of $100.0 million. Certain of our subsidiaries will guarantee our obligations under the Loan and Security Agreement. The Delayed Draw Term Loans are secured by a first-priority lien and security interest in substantially all of our assets and the assets of certain of our subsidiaries, subject to certain exceptions. We do not have any obligation to draw on the Delayed Draw Term Loan Facility. In connection with the entry into the Delayed Draw Term Loan Facility, we agreed to pay the Lenders a non-refundable fee of $625,000.</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1" w:name="page62"/>
    <w:bookmarkEnd w:id="61"/>
    <w:p>
      <w:pPr>
        <w:spacing w:after="0" w:line="127"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The Delayed Draw Term Loans are available to be drawn until February 7, 2026, subject to, among other things, a minimum borrowing</w:t>
      </w:r>
    </w:p>
    <w:p>
      <w:pPr>
        <w:spacing w:after="0" w:line="25"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requirement of $3.0 million. Any Delayed Draw Term Loans borrowed under the Loan and Security Agreement will mature on February 7, 2030 (the “Initial Maturity Date”), which we may extend with the relevant Lenders’ consent. Borrowings under the Loan and Security Agreement will accrue interest at a rate of 12.0% per annum, provided that if the maturity date of any Delayed Draw Term Loan has been extended, then 17.5% after the Initial Maturity Date. Proceeds of the Delayed Draw Term Loans may not be used to repay, amortize or restructure any debt for borrowed money other than debt owed to the Lenders and debt incurred by a Loan Party to finance the purchase, construction or improvement of any asset or services. Accrued but unpaid interest on each Delayed Draw Term Loan will be compounded on a quarterly basis and payable “in kind” by adding the amount of such accrued interest to the principal amount of the outstanding Delayed Draw Term Loans under the Loan and Security Agreement.</w:t>
      </w:r>
    </w:p>
    <w:p>
      <w:pPr>
        <w:spacing w:after="0" w:line="131" w:lineRule="exact"/>
        <w:rPr>
          <w:sz w:val="20"/>
          <w:szCs w:val="20"/>
          <w:color w:val="auto"/>
        </w:rPr>
      </w:pPr>
    </w:p>
    <w:p>
      <w:pPr>
        <w:ind w:right="20" w:firstLine="318"/>
        <w:spacing w:after="0" w:line="269" w:lineRule="auto"/>
        <w:rPr>
          <w:sz w:val="20"/>
          <w:szCs w:val="20"/>
          <w:color w:val="auto"/>
        </w:rPr>
      </w:pPr>
      <w:r>
        <w:rPr>
          <w:rFonts w:ascii="Arial" w:cs="Arial" w:eastAsia="Arial" w:hAnsi="Arial"/>
          <w:sz w:val="18"/>
          <w:szCs w:val="18"/>
          <w:color w:val="auto"/>
        </w:rPr>
        <w:t>Among other things, the Loan and Security Agreement includes covenants that (i) require us to maintain liquidity of at least $15.0 million, (ii) do not permit our cash interest payments due under all of the Loan Parties’ subordinated debt and unsecured debt for borrowed money for any fiscal year, in the aggregate, to exceed $20.0 million, and (iii) cap the amount of cash that can be used to repay the Notes at their maturity at $60.0 million, subject to increase to the extent of any equity raises. The Loan and Security Agreement also contains covenants that restrict the ability of the Loan Parties and certain of their subsidiaries to make dividends or distributions, incur additional debt (including subordinated debt), engage in certain asset sales, mergers, acquisitions or similar transactions, create liens on assets, engage in certain transactions with affiliates, change their businesses or make investments. The Loan and Security Agreement also contains change of control provisions that could have the effect of delaying or preventing an otherwise beneficial takeover of the Company.</w:t>
      </w:r>
    </w:p>
    <w:p>
      <w:pPr>
        <w:spacing w:after="0" w:line="145" w:lineRule="exact"/>
        <w:rPr>
          <w:sz w:val="20"/>
          <w:szCs w:val="20"/>
          <w:color w:val="auto"/>
        </w:rPr>
      </w:pPr>
    </w:p>
    <w:p>
      <w:pPr>
        <w:ind w:right="20" w:firstLine="318"/>
        <w:spacing w:after="0" w:line="269" w:lineRule="auto"/>
        <w:rPr>
          <w:sz w:val="20"/>
          <w:szCs w:val="20"/>
          <w:color w:val="auto"/>
        </w:rPr>
      </w:pPr>
      <w:r>
        <w:rPr>
          <w:rFonts w:ascii="Arial" w:cs="Arial" w:eastAsia="Arial" w:hAnsi="Arial"/>
          <w:sz w:val="18"/>
          <w:szCs w:val="18"/>
          <w:color w:val="auto"/>
        </w:rPr>
        <w:t>In connection with the Loan and Security Agreement, on May 7, 2025, we also entered into a warrant agreement with the Lenders (the “Warrant Agreement”) setting forth the rights and obligations of us and the Lenders, as holders, in connection with Warrants representing the right to purchase up to, in the aggregate, 9,558,635 shares of our common stock (the “Maximum Warrant Share Amount”) at an exercise price to be calculated as 115% of the average daily volume-weighted average prices of the common stock for the 30-day period beginning on May 8, 2025, subject to a minimum exercise price of $2.00 and a maximum exercise price of $3.75. The Loan and Security Agreement provides that, at each funding date of any Delayed Draw Term Loan, we will execute and deliver to the applicable Lenders Warrants representing the pro rata portion of the Maximum Warrant Share Amount based on the amount of Delayed Draw Term Loans provided by such Lender on the date thereof. We agreed to provide certain customary registration rights with respect to the resale of shares of common stock underlying Warrants held by or issuable to the holders from time to time. The Warrant Agreement also contains customary indemnity, exculpation and contribution obligations in connection with such registration.</w:t>
      </w:r>
    </w:p>
    <w:p>
      <w:pPr>
        <w:spacing w:after="0" w:line="118" w:lineRule="exact"/>
        <w:rPr>
          <w:sz w:val="20"/>
          <w:szCs w:val="20"/>
          <w:color w:val="auto"/>
        </w:rPr>
      </w:pPr>
    </w:p>
    <w:p>
      <w:pPr>
        <w:jc w:val="both"/>
        <w:ind w:right="180" w:firstLine="318"/>
        <w:spacing w:after="0" w:line="252" w:lineRule="auto"/>
        <w:rPr>
          <w:sz w:val="20"/>
          <w:szCs w:val="20"/>
          <w:color w:val="auto"/>
        </w:rPr>
      </w:pPr>
      <w:r>
        <w:rPr>
          <w:rFonts w:ascii="Arial" w:cs="Arial" w:eastAsia="Arial" w:hAnsi="Arial"/>
          <w:sz w:val="18"/>
          <w:szCs w:val="18"/>
          <w:color w:val="auto"/>
        </w:rPr>
        <w:t xml:space="preserve">As of the date of this report, the Delayed Draw Term Loan Facility is undrawn, and no Warrants have been issued pursuant to the Warrant Agreement. See </w:t>
      </w:r>
      <w:r>
        <w:rPr>
          <w:rFonts w:ascii="Arial" w:cs="Arial" w:eastAsia="Arial" w:hAnsi="Arial"/>
          <w:sz w:val="18"/>
          <w:szCs w:val="18"/>
          <w:u w:val="single" w:color="auto"/>
          <w:color w:val="0000FF"/>
        </w:rPr>
        <w:t>Note 14</w:t>
      </w:r>
      <w:r>
        <w:rPr>
          <w:rFonts w:ascii="Arial" w:cs="Arial" w:eastAsia="Arial" w:hAnsi="Arial"/>
          <w:sz w:val="18"/>
          <w:szCs w:val="18"/>
          <w:color w:val="auto"/>
        </w:rPr>
        <w:t xml:space="preserve">, </w:t>
      </w:r>
      <w:r>
        <w:rPr>
          <w:rFonts w:ascii="Arial" w:cs="Arial" w:eastAsia="Arial" w:hAnsi="Arial"/>
          <w:sz w:val="18"/>
          <w:szCs w:val="18"/>
          <w:i w:val="1"/>
          <w:iCs w:val="1"/>
          <w:color w:val="auto"/>
        </w:rPr>
        <w:t>Subsequent Event</w:t>
      </w:r>
      <w:r>
        <w:rPr>
          <w:rFonts w:ascii="Arial" w:cs="Arial" w:eastAsia="Arial" w:hAnsi="Arial"/>
          <w:sz w:val="18"/>
          <w:szCs w:val="18"/>
          <w:color w:val="auto"/>
        </w:rPr>
        <w:t>, to the Notes to Unaudited Condensed Consolidated Financial Statements included elsewhere in this report.</w:t>
      </w:r>
    </w:p>
    <w:p>
      <w:pPr>
        <w:spacing w:after="0" w:line="6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Liquidity</w:t>
      </w:r>
    </w:p>
    <w:p>
      <w:pPr>
        <w:spacing w:after="0" w:line="16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Liquidity Outlook</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cash from operations could be affected by various risks and uncertainties, including, but not limited to, the risks detailed in Part I, Item</w:t>
      </w:r>
    </w:p>
    <w:p>
      <w:pPr>
        <w:spacing w:after="0" w:line="36" w:lineRule="exact"/>
        <w:rPr>
          <w:sz w:val="20"/>
          <w:szCs w:val="20"/>
          <w:color w:val="auto"/>
        </w:rPr>
      </w:pPr>
    </w:p>
    <w:p>
      <w:pPr>
        <w:jc w:val="both"/>
        <w:ind w:right="40"/>
        <w:spacing w:after="0" w:line="289" w:lineRule="auto"/>
        <w:rPr>
          <w:sz w:val="20"/>
          <w:szCs w:val="20"/>
          <w:color w:val="auto"/>
        </w:rPr>
      </w:pPr>
      <w:r>
        <w:rPr>
          <w:rFonts w:ascii="Arial" w:cs="Arial" w:eastAsia="Arial" w:hAnsi="Arial"/>
          <w:sz w:val="17"/>
          <w:szCs w:val="17"/>
          <w:color w:val="auto"/>
        </w:rPr>
        <w:t xml:space="preserve">1A.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 our 2024 10-K and in Part II, </w:t>
      </w:r>
      <w:r>
        <w:rPr>
          <w:rFonts w:ascii="Arial" w:cs="Arial" w:eastAsia="Arial" w:hAnsi="Arial"/>
          <w:sz w:val="17"/>
          <w:szCs w:val="17"/>
          <w:u w:val="single" w:color="auto"/>
          <w:color w:val="0000FF"/>
        </w:rPr>
        <w:t>Item 1A</w:t>
      </w:r>
      <w:r>
        <w:rPr>
          <w:rFonts w:ascii="Arial" w:cs="Arial" w:eastAsia="Arial" w:hAnsi="Arial"/>
          <w:sz w:val="17"/>
          <w:szCs w:val="17"/>
          <w:color w:val="auto"/>
        </w:rPr>
        <w:t xml:space="preserve">.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and </w:t>
      </w:r>
      <w:r>
        <w:rPr>
          <w:rFonts w:ascii="Arial" w:cs="Arial" w:eastAsia="Arial" w:hAnsi="Arial"/>
          <w:sz w:val="17"/>
          <w:szCs w:val="17"/>
          <w:u w:val="single" w:color="auto"/>
          <w:color w:val="0000FF"/>
        </w:rPr>
        <w:t>Note Regarding Forward-Looking Statements</w:t>
      </w:r>
      <w:r>
        <w:rPr>
          <w:rFonts w:ascii="Arial" w:cs="Arial" w:eastAsia="Arial" w:hAnsi="Arial"/>
          <w:sz w:val="17"/>
          <w:szCs w:val="17"/>
          <w:color w:val="auto"/>
        </w:rPr>
        <w:t xml:space="preserve"> included elsewhere in this report. In addition, inflation, tariffs and trade wars, increased uncertainty surrounding international trade policy and regulations, high interest rates in certain geographic regions, overall economic conditions, uncertainty and volatility and concerns about hostilities in Eastern Europe and the Middle East, among other factors, have led to increased disruption and volatility in capital markets and credit markets generally, which could adversely affect our ability to access capital resources in the future and potentially harm our liquidity outlook.</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27" w:lineRule="exact"/>
        <w:rPr>
          <w:sz w:val="20"/>
          <w:szCs w:val="20"/>
          <w:color w:val="auto"/>
        </w:rPr>
      </w:pPr>
    </w:p>
    <w:p>
      <w:pPr>
        <w:ind w:firstLine="318"/>
        <w:spacing w:after="0" w:line="269" w:lineRule="auto"/>
        <w:rPr>
          <w:sz w:val="20"/>
          <w:szCs w:val="20"/>
          <w:color w:val="auto"/>
        </w:rPr>
      </w:pPr>
      <w:r>
        <w:rPr>
          <w:rFonts w:ascii="Arial" w:cs="Arial" w:eastAsia="Arial" w:hAnsi="Arial"/>
          <w:sz w:val="18"/>
          <w:szCs w:val="18"/>
          <w:color w:val="auto"/>
        </w:rPr>
        <w:t>We have recurring net losses and negative operating cash flows and while we are implementing a business plan focused on achieving sustainable, profitable operations over time, including the strategic initiatives described above, we expect that we will continue to operate at a loss for the foreseeable future. As part of our current business plan, we intend to continue to reduce operating expenses and utilize inventory management to reduce working capital, while investing in capital projects at our production facilities to reduce production costs. To reduce operating expenses, in November 2023, we initiated our Global Operations Review, which involves narrowing our commercial focus to certain anticipated growth opportunities, and accelerating activities that prioritize gross margin expansion and cash generation. These efforts have to date included, and may in the future include, the exit or discontinuation of select product lines such as Beyond Meat Jerky; changes to our pricing architecture within certain channels; cash-accretive inventory reduction initiatives; non-cash charges such as provision for excess and obsolete inventory and potential additional impairment charges, write-offs, disposals and accelerated depreciation of fixed assets, and losses on sale and write-down of fixed assets; further optimization of our manufacturing capacity and real estate footprint; planned and future reductions in our workforce; and the suspension of our operational activities in China in the first quarter of 2025. On February 24, 2025, our board of directors approved a plan to suspend our operational activities in China.</w:t>
      </w:r>
    </w:p>
    <w:p>
      <w:pPr>
        <w:spacing w:after="0" w:line="131" w:lineRule="exact"/>
        <w:rPr>
          <w:sz w:val="20"/>
          <w:szCs w:val="20"/>
          <w:color w:val="auto"/>
        </w:rPr>
      </w:pPr>
    </w:p>
    <w:p>
      <w:pPr>
        <w:ind w:right="140" w:firstLine="318"/>
        <w:spacing w:after="0" w:line="271" w:lineRule="auto"/>
        <w:rPr>
          <w:sz w:val="20"/>
          <w:szCs w:val="20"/>
          <w:color w:val="auto"/>
        </w:rPr>
      </w:pPr>
      <w:r>
        <w:rPr>
          <w:rFonts w:ascii="Arial" w:cs="Arial" w:eastAsia="Arial" w:hAnsi="Arial"/>
          <w:sz w:val="18"/>
          <w:szCs w:val="18"/>
          <w:color w:val="auto"/>
        </w:rPr>
        <w:t>Based on our current business plan, we believe that our existing cash balances, including our anticipated cash flows from operating activities, and the potential financing provided by the Loan and Security Agreement, will be sufficient to fund our operations and meet our foreseeable cash requirements through the next twelve months. However, our ability to meet these requirements will depend on, among other things, our ability to achieve anticipated levels of revenue and cash flows from operating activities and our ability to manage costs and working capital successfully. Additionally, we may use our cash resources faster than we predict due to unexpected expenditures or higher-than-expected expenses due to unfavorable macroeconomic events, including inflationary pressures or otherwise, competition or other factors that are beyond our control.</w:t>
      </w:r>
    </w:p>
    <w:p>
      <w:pPr>
        <w:spacing w:after="0" w:line="126" w:lineRule="exact"/>
        <w:rPr>
          <w:sz w:val="20"/>
          <w:szCs w:val="20"/>
          <w:color w:val="auto"/>
        </w:rPr>
      </w:pPr>
    </w:p>
    <w:p>
      <w:pPr>
        <w:ind w:right="20" w:firstLine="318"/>
        <w:spacing w:after="0" w:line="267" w:lineRule="auto"/>
        <w:rPr>
          <w:sz w:val="20"/>
          <w:szCs w:val="20"/>
          <w:color w:val="auto"/>
        </w:rPr>
      </w:pPr>
      <w:r>
        <w:rPr>
          <w:rFonts w:ascii="Arial" w:cs="Arial" w:eastAsia="Arial" w:hAnsi="Arial"/>
          <w:sz w:val="18"/>
          <w:szCs w:val="18"/>
          <w:color w:val="auto"/>
        </w:rPr>
        <w:t xml:space="preserve">We expect to raise significant additional capital through the issuance of additional equity and/or debt securities, and/or incur other indebtedness, some or all of which could be secured, to continue to fund our operations and repay our indebtedness in the future. To continue bolstering and restructuring our balance sheet, subject to our compliance with applicable laws, the applicable requirements of the Equity Distribution Agreement and the Loan and Security Agreement and market conditions, we expect to raise additional capital through the issuance of equity and/or debt securities in 2025, through the ATM Program or otherwise, which will result in additional dilution to our existing stockholders and may negatively impact the market price of our common stock. Any issuance of additional equity or debt securities may be for cash or in exchange for our outstanding Notes, which could have a highly dilutive effect on current stockholders and could negatively affect the trading price of our common stock. Similarly, if we draw on the Delayed Draw Term Loan Facility under our Loan and Security Agreement and the Lenders exercise their Warrants pursuant to the Warrant Agreement, the resulting issuance of our common stock to such Lenders would have a dilutive effect on our current stockholders and could negatively affect the trading price of our common stock. In addition, any such potential financings may result in the imposition of debt covenants and repayment obligations, or other restrictions that may adversely affect our business. For example, the Loan and Security Agreement contains covenants that restrict our ability to engage in certain transactions and could limit our ability to raise additional financing. See </w:t>
      </w:r>
      <w:r>
        <w:rPr>
          <w:rFonts w:ascii="Arial" w:cs="Arial" w:eastAsia="Arial" w:hAnsi="Arial"/>
          <w:sz w:val="18"/>
          <w:szCs w:val="18"/>
          <w:i w:val="1"/>
          <w:iCs w:val="1"/>
          <w:color w:val="auto"/>
        </w:rPr>
        <w:t>Liquidity Loan and Security Agreement; Warrant Agreement</w:t>
      </w:r>
      <w:r>
        <w:rPr>
          <w:rFonts w:ascii="Arial" w:cs="Arial" w:eastAsia="Arial" w:hAnsi="Arial"/>
          <w:sz w:val="18"/>
          <w:szCs w:val="18"/>
          <w:color w:val="auto"/>
        </w:rPr>
        <w:t xml:space="preserve"> above and </w:t>
      </w:r>
      <w:r>
        <w:rPr>
          <w:rFonts w:ascii="Arial" w:cs="Arial" w:eastAsia="Arial" w:hAnsi="Arial"/>
          <w:sz w:val="18"/>
          <w:szCs w:val="18"/>
          <w:u w:val="single" w:color="auto"/>
          <w:color w:val="0000FF"/>
        </w:rPr>
        <w:t>Note 14</w:t>
      </w:r>
      <w:r>
        <w:rPr>
          <w:rFonts w:ascii="Arial" w:cs="Arial" w:eastAsia="Arial" w:hAnsi="Arial"/>
          <w:sz w:val="18"/>
          <w:szCs w:val="18"/>
          <w:color w:val="auto"/>
        </w:rPr>
        <w:t xml:space="preserve">, </w:t>
      </w:r>
      <w:r>
        <w:rPr>
          <w:rFonts w:ascii="Arial" w:cs="Arial" w:eastAsia="Arial" w:hAnsi="Arial"/>
          <w:sz w:val="18"/>
          <w:szCs w:val="18"/>
          <w:i w:val="1"/>
          <w:iCs w:val="1"/>
          <w:color w:val="auto"/>
        </w:rPr>
        <w:t>Subsequent</w:t>
      </w:r>
      <w:r>
        <w:rPr>
          <w:rFonts w:ascii="Arial" w:cs="Arial" w:eastAsia="Arial" w:hAnsi="Arial"/>
          <w:sz w:val="18"/>
          <w:szCs w:val="18"/>
          <w:color w:val="auto"/>
        </w:rPr>
        <w:t xml:space="preserve"> </w:t>
      </w:r>
      <w:r>
        <w:rPr>
          <w:rFonts w:ascii="Arial" w:cs="Arial" w:eastAsia="Arial" w:hAnsi="Arial"/>
          <w:sz w:val="18"/>
          <w:szCs w:val="18"/>
          <w:i w:val="1"/>
          <w:iCs w:val="1"/>
          <w:color w:val="auto"/>
        </w:rPr>
        <w:t>Event</w:t>
      </w:r>
      <w:r>
        <w:rPr>
          <w:rFonts w:ascii="Arial" w:cs="Arial" w:eastAsia="Arial" w:hAnsi="Arial"/>
          <w:sz w:val="18"/>
          <w:szCs w:val="18"/>
          <w:color w:val="auto"/>
        </w:rPr>
        <w:t>, to the Notes to Unaudited Condensed Consolidated Financial Statements included elsewhere in this report. Furthermore, any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issued pursuant to potential financings may include rights that are senior to our shares of common stock. However, we cannot assure you that we will be able to successfully raise additional funds for the amounts needed or when needed, or on terms commercially acceptable, if at all. Our inability to raise required capital in the future would have a material adverse effect on our business, financial condition and results of operations. See Part II, Item 1A. </w:t>
      </w:r>
      <w:r>
        <w:rPr>
          <w:rFonts w:ascii="Arial" w:cs="Arial" w:eastAsia="Arial" w:hAnsi="Arial"/>
          <w:sz w:val="18"/>
          <w:szCs w:val="18"/>
          <w:i w:val="1"/>
          <w:iCs w:val="1"/>
          <w:color w:val="auto"/>
        </w:rPr>
        <w:t>Risk Factors—Risks Related to Our Lease Obligations, Indebtedness, Financial Position and Need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Additional Capital </w:t>
      </w:r>
      <w:r>
        <w:rPr>
          <w:rFonts w:ascii="Arial" w:cs="Arial" w:eastAsia="Arial" w:hAnsi="Arial"/>
          <w:sz w:val="18"/>
          <w:szCs w:val="18"/>
          <w:color w:val="auto"/>
        </w:rPr>
        <w:t>included elsewhere in this report. Our cash requirements under our significant contractual obligations and commitments are</w:t>
      </w:r>
      <w:r>
        <w:rPr>
          <w:rFonts w:ascii="Arial" w:cs="Arial" w:eastAsia="Arial" w:hAnsi="Arial"/>
          <w:sz w:val="18"/>
          <w:szCs w:val="18"/>
          <w:i w:val="1"/>
          <w:iCs w:val="1"/>
          <w:color w:val="auto"/>
        </w:rPr>
        <w:t xml:space="preserve"> </w:t>
      </w:r>
      <w:r>
        <w:rPr>
          <w:rFonts w:ascii="Arial" w:cs="Arial" w:eastAsia="Arial" w:hAnsi="Arial"/>
          <w:sz w:val="18"/>
          <w:szCs w:val="18"/>
          <w:color w:val="auto"/>
        </w:rPr>
        <w:t>listed below in the section titled “</w:t>
      </w:r>
      <w:r>
        <w:rPr>
          <w:rFonts w:ascii="Arial" w:cs="Arial" w:eastAsia="Arial" w:hAnsi="Arial"/>
          <w:sz w:val="18"/>
          <w:szCs w:val="18"/>
          <w:i w:val="1"/>
          <w:iCs w:val="1"/>
          <w:color w:val="auto"/>
        </w:rPr>
        <w:t>Contractual Obligations and Commitments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27" w:lineRule="exact"/>
        <w:rPr>
          <w:sz w:val="20"/>
          <w:szCs w:val="20"/>
          <w:color w:val="auto"/>
        </w:rPr>
      </w:pPr>
    </w:p>
    <w:p>
      <w:pPr>
        <w:ind w:firstLine="318"/>
        <w:spacing w:after="0" w:line="267" w:lineRule="auto"/>
        <w:rPr>
          <w:sz w:val="20"/>
          <w:szCs w:val="20"/>
          <w:color w:val="auto"/>
        </w:rPr>
      </w:pPr>
      <w:r>
        <w:rPr>
          <w:rFonts w:ascii="Arial" w:cs="Arial" w:eastAsia="Arial" w:hAnsi="Arial"/>
          <w:sz w:val="18"/>
          <w:szCs w:val="18"/>
          <w:color w:val="auto"/>
        </w:rPr>
        <w:t>Our future capital requirements may vary materially from those currently planned and will depend on many factors including, among others, demand in the plant-based meat category and for our products, which has continued to decline; our rate of revenue generation and the success of our planned gross margin expansion initiatives; the results of our Global Operations Review and the successful implementation of our ongoing cost-reduction initiatives; timing to adjust our supply chain and cost structure in response to material fluctuations in product demand; the number and characteristics of any additional products or manufacturing processes we develop or acquire to serve new or existing markets; our investment in and build out of our Campus Headquarters, including the timing and success of subleasing, assigning or otherwise transferring excess space or negotiating a partial lease termination at our Campus Headquarters on terms advantageous to us or at all; the success of, and expenses associated with, our marketing initiatives; our investment in manufacturing and facilities to optimize our manufacturing and production capacity, including underutilization fees, termination fees and exit costs; our investments in real property; the costs required to fund domestic and international operations and growth; the scope, progress, results and costs of researching and developing future products or improvements to existing products or manufacturing processes; any lawsuits related to our products or commenced against us, including the class actions brought against us or the derivative actions brought against certain of our current and former directors and officers; the expenses needed to attract and retain skilled personnel; variations in product selling prices and costs, the timing and success of changes to our pricing architecture within certain channels, and the mix of products sold; the level of trade and promotional spending to support our products appropriately; the expenses associated with our sales force; our management of accounts receivable, inventory, accounts payable and other working capital accounts; the impact of foreign currency exchange rate fluctuations on our cash balances; the costs associated with being a public company; the costs involved in preparing, filing, prosecuting, maintaining, defending and enforcing intellectual property claims, including litigation costs and the outcome of such litigation; and the timing, receipt and amount of sales of, or royalties on, any future approved products, if any.</w:t>
      </w:r>
    </w:p>
    <w:p>
      <w:pPr>
        <w:spacing w:after="0" w:line="143" w:lineRule="exact"/>
        <w:rPr>
          <w:sz w:val="20"/>
          <w:szCs w:val="20"/>
          <w:color w:val="auto"/>
        </w:rPr>
      </w:pPr>
    </w:p>
    <w:p>
      <w:pPr>
        <w:ind w:right="140" w:firstLine="318"/>
        <w:spacing w:after="0" w:line="285" w:lineRule="auto"/>
        <w:rPr>
          <w:sz w:val="20"/>
          <w:szCs w:val="20"/>
          <w:color w:val="auto"/>
        </w:rPr>
      </w:pPr>
      <w:r>
        <w:rPr>
          <w:rFonts w:ascii="Arial" w:cs="Arial" w:eastAsia="Arial" w:hAnsi="Arial"/>
          <w:sz w:val="17"/>
          <w:szCs w:val="17"/>
          <w:color w:val="auto"/>
        </w:rPr>
        <w:t>Our operating environment continues to be affected by uncertainty related to macroeconomic issues, including economic and geopolitical uncertainty in domestic and international markets, ongoing, further weakened demand in the plant-based meat category and for our products, inflation, higher interest rates, current and proposed future tariffs and related trade wars, increased uncertainty surrounding international trade policy and regulations, including through the implementation of retaliatory tariffs or related counter-measures and the negative effects of anti-American sentiment, and potential recessionary concerns, among other things, all of which have had and could continue to have unforeseen impacts on our actual realized results, including our liquidity outlook. Our ability to make progress toward reducing operating expenses and achieving and/or sustaining our profitability and financial performance objectives is dependent on a number of assumptions and uncertainties, including, without limitation, demand in the plant-based meat category and for our products, which has continued to decline; our ability to both raise capital and reduce costs and achieve and/or sustain positive gross margin; our ability to generate revenues and gross profit and meet operating expense reduction targets, which may be subject to factors beyond our control; timing of capital expenditures; and our ability to monetize inventory and manage working capital. The other risks described in this report and in our 2024 10-K may also hinder our ability to implement our strategic initiatives. As a result, we cannot guarantee that we will achieve and/or sustain our profitability and financial performance objectives in the future, whether on our expected timelines, or at all.</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77" w:lineRule="exact"/>
        <w:rPr>
          <w:sz w:val="20"/>
          <w:szCs w:val="20"/>
          <w:color w:val="auto"/>
        </w:rPr>
      </w:pPr>
    </w:p>
    <w:p>
      <w:pPr>
        <w:ind w:right="40" w:firstLine="318"/>
        <w:spacing w:after="0" w:line="270" w:lineRule="auto"/>
        <w:rPr>
          <w:sz w:val="20"/>
          <w:szCs w:val="20"/>
          <w:color w:val="auto"/>
        </w:rPr>
      </w:pPr>
      <w:r>
        <w:rPr>
          <w:rFonts w:ascii="Arial" w:cs="Arial" w:eastAsia="Arial" w:hAnsi="Arial"/>
          <w:sz w:val="18"/>
          <w:szCs w:val="18"/>
          <w:color w:val="auto"/>
        </w:rPr>
        <w:t>Our primary cash needs are for operating expenses, working capital and capital expenditures to support our business. We finance our operations primarily through sales of our products and existing cash. Beginning in the first quarter of 2023, from time to time, we also began generating incremental cash through ingredient sales. From time to time, we also generate cash from sales of certain fixed assets. We raised a total of $199.5 million from the sale of convertible preferred stock, including through sales of convertible notes which were converted into preferred stock, net of costs associated with such financings. In connection with our initial public offering, we sold an aggregate of 11,068,750 shares of our common stock at a public offering price of $25.00 per share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4" w:name="page65"/>
    <w:bookmarkEnd w:id="64"/>
    <w:p>
      <w:pPr>
        <w:spacing w:after="0" w:line="127" w:lineRule="exact"/>
        <w:rPr>
          <w:sz w:val="20"/>
          <w:szCs w:val="20"/>
          <w:color w:val="auto"/>
        </w:rPr>
      </w:pPr>
    </w:p>
    <w:p>
      <w:pPr>
        <w:ind w:right="280"/>
        <w:spacing w:after="0" w:line="283" w:lineRule="auto"/>
        <w:rPr>
          <w:sz w:val="20"/>
          <w:szCs w:val="20"/>
          <w:color w:val="auto"/>
        </w:rPr>
      </w:pPr>
      <w:r>
        <w:rPr>
          <w:rFonts w:ascii="Arial" w:cs="Arial" w:eastAsia="Arial" w:hAnsi="Arial"/>
          <w:sz w:val="18"/>
          <w:szCs w:val="18"/>
          <w:color w:val="auto"/>
        </w:rPr>
        <w:t>and received approximately $252.4 million in net proceeds. In 2019, we completed a secondary public offering of our common stock in which we sold 250,000 shares and certain selling stockholders sold 3,487,500 shares. We sold 250,000 shares of our common stock at a public offering price of $160.00 per share and received approximately $37.4 million in net proceeds.</w:t>
      </w:r>
    </w:p>
    <w:p>
      <w:pPr>
        <w:spacing w:after="0" w:line="116" w:lineRule="exact"/>
        <w:rPr>
          <w:sz w:val="20"/>
          <w:szCs w:val="20"/>
          <w:color w:val="auto"/>
        </w:rPr>
      </w:pPr>
    </w:p>
    <w:p>
      <w:pPr>
        <w:ind w:right="140" w:firstLine="318"/>
        <w:spacing w:after="0" w:line="290" w:lineRule="auto"/>
        <w:rPr>
          <w:sz w:val="20"/>
          <w:szCs w:val="20"/>
          <w:color w:val="auto"/>
        </w:rPr>
      </w:pPr>
      <w:r>
        <w:rPr>
          <w:rFonts w:ascii="Arial" w:cs="Arial" w:eastAsia="Arial" w:hAnsi="Arial"/>
          <w:sz w:val="18"/>
          <w:szCs w:val="18"/>
          <w:color w:val="auto"/>
        </w:rPr>
        <w:t xml:space="preserve">In 2021, we issued a total of $1.15 billion in aggregate principal amount of Notes. See </w:t>
      </w:r>
      <w:r>
        <w:rPr>
          <w:rFonts w:ascii="Arial" w:cs="Arial" w:eastAsia="Arial" w:hAnsi="Arial"/>
          <w:sz w:val="18"/>
          <w:szCs w:val="18"/>
          <w:u w:val="single" w:color="auto"/>
          <w:color w:val="0000FF"/>
        </w:rPr>
        <w:t>Note 6</w:t>
      </w:r>
      <w:r>
        <w:rPr>
          <w:rFonts w:ascii="Arial" w:cs="Arial" w:eastAsia="Arial" w:hAnsi="Arial"/>
          <w:sz w:val="18"/>
          <w:szCs w:val="18"/>
          <w:color w:val="auto"/>
        </w:rPr>
        <w:t>, Debt, to the Notes to Unaudited Condensed Consolidated Financial Statements included elsewhere in this report.</w:t>
      </w:r>
    </w:p>
    <w:p>
      <w:pPr>
        <w:spacing w:after="0" w:line="123" w:lineRule="exact"/>
        <w:rPr>
          <w:sz w:val="20"/>
          <w:szCs w:val="20"/>
          <w:color w:val="auto"/>
        </w:rPr>
      </w:pPr>
    </w:p>
    <w:p>
      <w:pPr>
        <w:ind w:right="40" w:firstLine="318"/>
        <w:spacing w:after="0" w:line="272" w:lineRule="auto"/>
        <w:rPr>
          <w:sz w:val="20"/>
          <w:szCs w:val="20"/>
          <w:color w:val="auto"/>
        </w:rPr>
      </w:pPr>
      <w:r>
        <w:rPr>
          <w:rFonts w:ascii="Arial" w:cs="Arial" w:eastAsia="Arial" w:hAnsi="Arial"/>
          <w:sz w:val="18"/>
          <w:szCs w:val="18"/>
          <w:color w:val="auto"/>
        </w:rPr>
        <w:t>Our Shelf Registration Statement allows us to sell, from time to time and at our discretion, Company securities having an aggregate offering price of up to $250.0 million including shares of common stock that may be sold pursuant to the Equity Distribution Agreement with B. Riley under the ATM Program. As of March 29, 2025, 9,750,312 shares of common stock had been sold under the ATM Program for an aggregate offering price of $48.3 million. As of March 29, 2025, approximately $201.7 million in capacity remained available under the 2024 Shelf Registration Statement. See ATM Program discussed above.</w:t>
      </w:r>
    </w:p>
    <w:p>
      <w:pPr>
        <w:spacing w:after="0" w:line="126" w:lineRule="exact"/>
        <w:rPr>
          <w:sz w:val="20"/>
          <w:szCs w:val="20"/>
          <w:color w:val="auto"/>
        </w:rPr>
      </w:pPr>
    </w:p>
    <w:p>
      <w:pPr>
        <w:ind w:right="80" w:firstLine="318"/>
        <w:spacing w:after="0" w:line="283" w:lineRule="auto"/>
        <w:rPr>
          <w:sz w:val="20"/>
          <w:szCs w:val="20"/>
          <w:color w:val="auto"/>
        </w:rPr>
      </w:pPr>
      <w:r>
        <w:rPr>
          <w:rFonts w:ascii="Arial" w:cs="Arial" w:eastAsia="Arial" w:hAnsi="Arial"/>
          <w:sz w:val="18"/>
          <w:szCs w:val="18"/>
          <w:color w:val="auto"/>
        </w:rPr>
        <w:t xml:space="preserve">On May 7, 2025, we entered into the Loan and Security Agreement, which provides for up to $100.0 million of new first -lien senior secured debt. See </w:t>
      </w:r>
      <w:r>
        <w:rPr>
          <w:rFonts w:ascii="Arial" w:cs="Arial" w:eastAsia="Arial" w:hAnsi="Arial"/>
          <w:sz w:val="18"/>
          <w:szCs w:val="18"/>
          <w:u w:val="single" w:color="auto"/>
          <w:color w:val="0000FF"/>
        </w:rPr>
        <w:t>Note 14</w:t>
      </w:r>
      <w:r>
        <w:rPr>
          <w:rFonts w:ascii="Arial" w:cs="Arial" w:eastAsia="Arial" w:hAnsi="Arial"/>
          <w:sz w:val="18"/>
          <w:szCs w:val="18"/>
          <w:color w:val="auto"/>
        </w:rPr>
        <w:t xml:space="preserve">, </w:t>
      </w:r>
      <w:r>
        <w:rPr>
          <w:rFonts w:ascii="Arial" w:cs="Arial" w:eastAsia="Arial" w:hAnsi="Arial"/>
          <w:sz w:val="18"/>
          <w:szCs w:val="18"/>
          <w:i w:val="1"/>
          <w:iCs w:val="1"/>
          <w:color w:val="auto"/>
        </w:rPr>
        <w:t>Subsequent Event</w:t>
      </w:r>
      <w:r>
        <w:rPr>
          <w:rFonts w:ascii="Arial" w:cs="Arial" w:eastAsia="Arial" w:hAnsi="Arial"/>
          <w:sz w:val="18"/>
          <w:szCs w:val="18"/>
          <w:color w:val="auto"/>
        </w:rPr>
        <w:t>, to the Notes to Unaudited Condensed Consolidated Financial Statements included elsewhere in this report.</w:t>
      </w:r>
    </w:p>
    <w:p>
      <w:pPr>
        <w:spacing w:after="0" w:line="116" w:lineRule="exact"/>
        <w:rPr>
          <w:sz w:val="20"/>
          <w:szCs w:val="20"/>
          <w:color w:val="auto"/>
        </w:rPr>
      </w:pPr>
    </w:p>
    <w:p>
      <w:pPr>
        <w:jc w:val="both"/>
        <w:ind w:right="360" w:firstLine="318"/>
        <w:spacing w:after="0" w:line="283" w:lineRule="auto"/>
        <w:rPr>
          <w:sz w:val="20"/>
          <w:szCs w:val="20"/>
          <w:color w:val="auto"/>
        </w:rPr>
      </w:pPr>
      <w:r>
        <w:rPr>
          <w:rFonts w:ascii="Arial" w:cs="Arial" w:eastAsia="Arial" w:hAnsi="Arial"/>
          <w:sz w:val="18"/>
          <w:szCs w:val="18"/>
          <w:color w:val="auto"/>
        </w:rPr>
        <w:t>As of March 29, 2025, we had $102.1 million in unrestricted cash and cash equivalents and $13.7 million in restricted cash, which was comprised of $12.6 million to secure the letter of credit delivered to our landlord as security for the performance of our obligations under our Campus Lease and $1.1 million to secure a letter of credit associated with a third party contract manufacturer in Europe.</w:t>
      </w:r>
    </w:p>
    <w:p>
      <w:pPr>
        <w:spacing w:after="0" w:line="116" w:lineRule="exact"/>
        <w:rPr>
          <w:sz w:val="20"/>
          <w:szCs w:val="20"/>
          <w:color w:val="auto"/>
        </w:rPr>
      </w:pPr>
    </w:p>
    <w:p>
      <w:pPr>
        <w:ind w:right="180" w:firstLine="318"/>
        <w:spacing w:after="0" w:line="271" w:lineRule="auto"/>
        <w:rPr>
          <w:sz w:val="20"/>
          <w:szCs w:val="20"/>
          <w:color w:val="auto"/>
        </w:rPr>
      </w:pPr>
      <w:r>
        <w:rPr>
          <w:rFonts w:ascii="Arial" w:cs="Arial" w:eastAsia="Arial" w:hAnsi="Arial"/>
          <w:sz w:val="18"/>
          <w:szCs w:val="18"/>
          <w:color w:val="auto"/>
        </w:rPr>
        <w:t xml:space="preserve">We expect to raise significant additional capital through the issuance of additional equity and/or debt securities, and/or incur other indebtedness, some or all of which may be secured, to continue to fund our operations and repay our indebtedness in the future. To continue bolstering and restructuring our balance sheet, subject to our compliance with applicable laws, the applicable requirements of the Equity Distribution Agreement and the Loan and Security Agreement, as well as market conditions, we expect to raise additional capital through the issuance of equity and/or debt securities in 2025, through the ATM Program or otherwise. However, we cannot assure you that we will be able to successfully raise additional funds for the amounts needed or when needed, or on terms commercially acceptable, if at all. See </w:t>
      </w:r>
      <w:r>
        <w:rPr>
          <w:rFonts w:ascii="Arial" w:cs="Arial" w:eastAsia="Arial" w:hAnsi="Arial"/>
          <w:sz w:val="18"/>
          <w:szCs w:val="18"/>
          <w:i w:val="1"/>
          <w:iCs w:val="1"/>
          <w:color w:val="auto"/>
        </w:rPr>
        <w:t>Liquidity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Outlook </w:t>
      </w:r>
      <w:r>
        <w:rPr>
          <w:rFonts w:ascii="Arial" w:cs="Arial" w:eastAsia="Arial" w:hAnsi="Arial"/>
          <w:sz w:val="18"/>
          <w:szCs w:val="18"/>
          <w:color w:val="auto"/>
        </w:rPr>
        <w:t>above and Part I, Item 1A.</w:t>
      </w:r>
      <w:r>
        <w:rPr>
          <w:rFonts w:ascii="Arial" w:cs="Arial" w:eastAsia="Arial" w:hAnsi="Arial"/>
          <w:sz w:val="18"/>
          <w:szCs w:val="18"/>
          <w:i w:val="1"/>
          <w:iCs w:val="1"/>
          <w:color w:val="auto"/>
        </w:rPr>
        <w:t xml:space="preserve"> Risk Factors—Risks Related to Our Lease Obligations, Indebtedness, Financial Position and Need for Additional Capital </w:t>
      </w:r>
      <w:r>
        <w:rPr>
          <w:rFonts w:ascii="Arial" w:cs="Arial" w:eastAsia="Arial" w:hAnsi="Arial"/>
          <w:sz w:val="18"/>
          <w:szCs w:val="18"/>
          <w:color w:val="auto"/>
        </w:rPr>
        <w:t>for additional information.</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Cash Flows</w:t>
      </w:r>
    </w:p>
    <w:p>
      <w:pPr>
        <w:spacing w:after="0" w:line="177" w:lineRule="exact"/>
        <w:rPr>
          <w:sz w:val="20"/>
          <w:szCs w:val="20"/>
          <w:color w:val="auto"/>
        </w:rPr>
      </w:pPr>
    </w:p>
    <w:p>
      <w:pPr>
        <w:ind w:right="360" w:firstLine="318"/>
        <w:spacing w:after="0" w:line="290" w:lineRule="auto"/>
        <w:rPr>
          <w:sz w:val="20"/>
          <w:szCs w:val="20"/>
          <w:color w:val="auto"/>
        </w:rPr>
      </w:pPr>
      <w:r>
        <w:rPr>
          <w:rFonts w:ascii="Arial" w:cs="Arial" w:eastAsia="Arial" w:hAnsi="Arial"/>
          <w:sz w:val="18"/>
          <w:szCs w:val="18"/>
          <w:color w:val="auto"/>
        </w:rPr>
        <w:t>The following table presents the major components of net cash flows used in operating, investing and financing activities for the periods indicated.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6"/>
                <w:szCs w:val="16"/>
                <w:b w:val="1"/>
                <w:bCs w:val="1"/>
                <w:color w:val="auto"/>
              </w:rPr>
              <w:t>Three Months Ended</w:t>
            </w:r>
          </w:p>
        </w:tc>
      </w:tr>
      <w:tr>
        <w:trPr>
          <w:trHeight w:val="165"/>
        </w:trPr>
        <w:tc>
          <w:tcPr>
            <w:tcW w:w="20" w:type="dxa"/>
            <w:vAlign w:val="bottom"/>
          </w:tcPr>
          <w:p>
            <w:pPr>
              <w:spacing w:after="0"/>
              <w:rPr>
                <w:sz w:val="14"/>
                <w:szCs w:val="14"/>
                <w:color w:val="auto"/>
              </w:rPr>
            </w:pPr>
          </w:p>
        </w:tc>
        <w:tc>
          <w:tcPr>
            <w:tcW w:w="8340" w:type="dxa"/>
            <w:vAlign w:val="bottom"/>
            <w:gridSpan w:val="2"/>
          </w:tcPr>
          <w:p>
            <w:pPr>
              <w:spacing w:after="0" w:line="165" w:lineRule="exact"/>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4"/>
                <w:szCs w:val="14"/>
                <w:color w:val="auto"/>
              </w:rPr>
            </w:pPr>
          </w:p>
        </w:tc>
        <w:tc>
          <w:tcPr>
            <w:tcW w:w="1380" w:type="dxa"/>
            <w:vAlign w:val="bottom"/>
            <w:gridSpan w:val="2"/>
          </w:tcPr>
          <w:p>
            <w:pPr>
              <w:spacing w:after="0" w:line="165" w:lineRule="exact"/>
              <w:rPr>
                <w:sz w:val="20"/>
                <w:szCs w:val="20"/>
                <w:color w:val="auto"/>
              </w:rPr>
            </w:pPr>
            <w:r>
              <w:rPr>
                <w:rFonts w:ascii="Arial" w:cs="Arial" w:eastAsia="Arial" w:hAnsi="Arial"/>
                <w:sz w:val="16"/>
                <w:szCs w:val="16"/>
                <w:b w:val="1"/>
                <w:bCs w:val="1"/>
                <w:color w:val="auto"/>
              </w:rPr>
              <w:t>March 29, 2025</w:t>
            </w:r>
          </w:p>
        </w:tc>
        <w:tc>
          <w:tcPr>
            <w:tcW w:w="120" w:type="dxa"/>
            <w:vAlign w:val="bottom"/>
          </w:tcPr>
          <w:p>
            <w:pPr>
              <w:spacing w:after="0"/>
              <w:rPr>
                <w:sz w:val="14"/>
                <w:szCs w:val="14"/>
                <w:color w:val="auto"/>
              </w:rPr>
            </w:pPr>
          </w:p>
        </w:tc>
        <w:tc>
          <w:tcPr>
            <w:tcW w:w="1260" w:type="dxa"/>
            <w:vAlign w:val="bottom"/>
          </w:tcPr>
          <w:p>
            <w:pPr>
              <w:jc w:val="right"/>
              <w:ind w:right="34"/>
              <w:spacing w:after="0" w:line="165" w:lineRule="exact"/>
              <w:rPr>
                <w:sz w:val="20"/>
                <w:szCs w:val="20"/>
                <w:color w:val="auto"/>
              </w:rPr>
            </w:pPr>
            <w:r>
              <w:rPr>
                <w:rFonts w:ascii="Arial" w:cs="Arial" w:eastAsia="Arial" w:hAnsi="Arial"/>
                <w:sz w:val="16"/>
                <w:szCs w:val="16"/>
                <w:b w:val="1"/>
                <w:bCs w:val="1"/>
                <w:color w:val="auto"/>
                <w:w w:val="98"/>
              </w:rPr>
              <w:t>March 30, 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top w:val="single" w:sz="8" w:color="auto"/>
              <w:bottom w:val="single" w:sz="8" w:color="CCEEFF"/>
            </w:tcBorders>
          </w:tcPr>
          <w:p>
            <w:pPr>
              <w:spacing w:after="0" w:line="20" w:lineRule="exact"/>
              <w:rPr>
                <w:sz w:val="1"/>
                <w:szCs w:val="1"/>
                <w:color w:val="auto"/>
              </w:rPr>
            </w:pPr>
          </w:p>
        </w:tc>
        <w:tc>
          <w:tcPr>
            <w:tcW w:w="7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8340" w:type="dxa"/>
            <w:vAlign w:val="bottom"/>
            <w:gridSpan w:val="2"/>
            <w:shd w:val="clear" w:color="auto" w:fill="CCEEFF"/>
          </w:tcPr>
          <w:p>
            <w:pPr>
              <w:spacing w:after="0" w:line="205" w:lineRule="exact"/>
              <w:rPr>
                <w:sz w:val="20"/>
                <w:szCs w:val="20"/>
                <w:color w:val="auto"/>
              </w:rPr>
            </w:pPr>
            <w:r>
              <w:rPr>
                <w:rFonts w:ascii="Arial" w:cs="Arial" w:eastAsia="Arial" w:hAnsi="Arial"/>
                <w:sz w:val="18"/>
                <w:szCs w:val="18"/>
                <w:color w:val="auto"/>
              </w:rPr>
              <w:t>Cash used in:</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8340" w:type="dxa"/>
            <w:vAlign w:val="bottom"/>
            <w:gridSpan w:val="2"/>
          </w:tcPr>
          <w:p>
            <w:pPr>
              <w:ind w:left="120"/>
              <w:spacing w:after="0"/>
              <w:rPr>
                <w:sz w:val="20"/>
                <w:szCs w:val="20"/>
                <w:color w:val="auto"/>
              </w:rPr>
            </w:pPr>
            <w:r>
              <w:rPr>
                <w:rFonts w:ascii="Arial" w:cs="Arial" w:eastAsia="Arial" w:hAnsi="Arial"/>
                <w:sz w:val="18"/>
                <w:szCs w:val="18"/>
                <w:color w:val="auto"/>
              </w:rPr>
              <w:t>Operating activities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(26,146)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(31,805)</w:t>
            </w:r>
          </w:p>
        </w:tc>
      </w:tr>
      <w:tr>
        <w:trPr>
          <w:trHeight w:val="225"/>
        </w:trPr>
        <w:tc>
          <w:tcPr>
            <w:tcW w:w="20" w:type="dxa"/>
            <w:vAlign w:val="bottom"/>
            <w:shd w:val="clear" w:color="auto" w:fill="CCEEFF"/>
          </w:tcPr>
          <w:p>
            <w:pPr>
              <w:spacing w:after="0"/>
              <w:rPr>
                <w:sz w:val="19"/>
                <w:szCs w:val="19"/>
                <w:color w:val="auto"/>
              </w:rPr>
            </w:pPr>
          </w:p>
        </w:tc>
        <w:tc>
          <w:tcPr>
            <w:tcW w:w="8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Investing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32"/>
        </w:trPr>
        <w:tc>
          <w:tcPr>
            <w:tcW w:w="20" w:type="dxa"/>
            <w:vAlign w:val="bottom"/>
          </w:tcPr>
          <w:p>
            <w:pPr>
              <w:spacing w:after="0"/>
              <w:rPr>
                <w:sz w:val="20"/>
                <w:szCs w:val="20"/>
                <w:color w:val="auto"/>
              </w:rPr>
            </w:pPr>
          </w:p>
        </w:tc>
        <w:tc>
          <w:tcPr>
            <w:tcW w:w="8340" w:type="dxa"/>
            <w:vAlign w:val="bottom"/>
            <w:gridSpan w:val="2"/>
          </w:tcPr>
          <w:p>
            <w:pPr>
              <w:ind w:left="120"/>
              <w:spacing w:after="0"/>
              <w:rPr>
                <w:sz w:val="20"/>
                <w:szCs w:val="20"/>
                <w:color w:val="auto"/>
              </w:rPr>
            </w:pPr>
            <w:r>
              <w:rPr>
                <w:rFonts w:ascii="Arial" w:cs="Arial" w:eastAsia="Arial" w:hAnsi="Arial"/>
                <w:sz w:val="18"/>
                <w:szCs w:val="18"/>
                <w:color w:val="auto"/>
              </w:rPr>
              <w:t>Financing activities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(589)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(941)</w:t>
            </w:r>
          </w:p>
        </w:tc>
      </w:tr>
    </w:tbl>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77" w:lineRule="exact"/>
        <w:rPr>
          <w:sz w:val="20"/>
          <w:szCs w:val="20"/>
          <w:color w:val="auto"/>
        </w:rPr>
      </w:pPr>
    </w:p>
    <w:p>
      <w:pPr>
        <w:ind w:right="120" w:firstLine="318"/>
        <w:spacing w:after="0" w:line="275" w:lineRule="auto"/>
        <w:rPr>
          <w:sz w:val="20"/>
          <w:szCs w:val="20"/>
          <w:color w:val="auto"/>
        </w:rPr>
      </w:pPr>
      <w:r>
        <w:rPr>
          <w:rFonts w:ascii="Arial" w:cs="Arial" w:eastAsia="Arial" w:hAnsi="Arial"/>
          <w:sz w:val="18"/>
          <w:szCs w:val="18"/>
          <w:color w:val="auto"/>
        </w:rPr>
        <w:t>In the three months ended March 29, 2025, we incurred a net loss of $52.9 million, which was the primary reason for net cash used in operating activities of $26.1 million. Net cash inflows from changes in our operating assets and liabilities were $13.9 million, primarily due to an increase in accounts payable from timing of</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27"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payments of vendor invoices; a decrease in overall inventory levels due to ongoing efforts to optimize working capital; an increase in accrued expenses and other current liabilities from an increase in accruals; an increase in VAT prepayments on EU purchases, an increase in prepayments for ingredients and marketing services; an increase in accounts receivable balances due to a decrease in billings to customers; an increase in prepaid lease costs, non-current due to lease payments towards unoccupied phases of our Campus Headquarters facility for which leases have not yet commenced; and a decrease in operating lease liabilities due to a reduction in new leases entered into. Net loss in the three months ended March 29, 2025, included $12.9 million in non-cash expenses comprised of depreciation and amortization expense, including accelerated depreciation recorded resulting from the suspension of our operational activities in China, share-based compensation expense, non-cash lease expense and amortization of convertible debt issuance costs and unrealized gains on foreign currency exchange transactions.</w:t>
      </w:r>
    </w:p>
    <w:p>
      <w:pPr>
        <w:spacing w:after="0" w:line="130" w:lineRule="exact"/>
        <w:rPr>
          <w:sz w:val="20"/>
          <w:szCs w:val="20"/>
          <w:color w:val="auto"/>
        </w:rPr>
      </w:pPr>
    </w:p>
    <w:p>
      <w:pPr>
        <w:ind w:right="20" w:firstLine="318"/>
        <w:spacing w:after="0" w:line="271" w:lineRule="auto"/>
        <w:rPr>
          <w:sz w:val="20"/>
          <w:szCs w:val="20"/>
          <w:color w:val="auto"/>
        </w:rPr>
      </w:pPr>
      <w:r>
        <w:rPr>
          <w:rFonts w:ascii="Arial" w:cs="Arial" w:eastAsia="Arial" w:hAnsi="Arial"/>
          <w:sz w:val="18"/>
          <w:szCs w:val="18"/>
          <w:color w:val="auto"/>
        </w:rPr>
        <w:t>In the three months ended March 30, 2024, we incurred a net loss of $54.4 million, which was the primary reason for net cash used in operating activities of $31.8 million. Net cash inflows from changes in our operating assets and liabilities were $4.1 million, primarily due to cash inflows from a decrease in work-in-process inventory, an increase in accounts payable and a decrease in prepaid expenses and other assets. The cash inflows were partially offset by an increase in accounts receivable, payment of accrued expenses and other current liabilities, an increase in prepaid lease costs and a decrease in operating lease liabilities. Net loss in the three months ended March 30, 2024, included $18.5 million in non-cash expenses primarily comprised of depreciation and amortization expense, share-based compensation expense, unrealized loss on foreign currency exchange transactions and non-cash lease expense.</w:t>
      </w:r>
    </w:p>
    <w:p>
      <w:pPr>
        <w:spacing w:after="0" w:line="126" w:lineRule="exact"/>
        <w:rPr>
          <w:sz w:val="20"/>
          <w:szCs w:val="20"/>
          <w:color w:val="auto"/>
        </w:rPr>
      </w:pPr>
    </w:p>
    <w:p>
      <w:pPr>
        <w:ind w:right="200" w:firstLine="318"/>
        <w:spacing w:after="0" w:line="283" w:lineRule="auto"/>
        <w:rPr>
          <w:sz w:val="20"/>
          <w:szCs w:val="20"/>
          <w:color w:val="auto"/>
        </w:rPr>
      </w:pPr>
      <w:r>
        <w:rPr>
          <w:rFonts w:ascii="Arial" w:cs="Arial" w:eastAsia="Arial" w:hAnsi="Arial"/>
          <w:sz w:val="18"/>
          <w:szCs w:val="18"/>
          <w:color w:val="auto"/>
        </w:rPr>
        <w:t>Depreciation and amortization expense was $7.4 million, including $1.5 million in accelerated depreciation related to the reassessment of the useful lives of certain assets in China resulting from the suspension of our operational activities in China, and $7.0 million in the three months ended March 29, 2025 and March 30, 2024, respectively.</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77" w:lineRule="exact"/>
        <w:rPr>
          <w:sz w:val="20"/>
          <w:szCs w:val="20"/>
          <w:color w:val="auto"/>
        </w:rPr>
      </w:pPr>
    </w:p>
    <w:p>
      <w:pPr>
        <w:ind w:right="240" w:firstLine="318"/>
        <w:spacing w:after="0" w:line="305" w:lineRule="auto"/>
        <w:rPr>
          <w:sz w:val="20"/>
          <w:szCs w:val="20"/>
          <w:color w:val="auto"/>
        </w:rPr>
      </w:pPr>
      <w:r>
        <w:rPr>
          <w:rFonts w:ascii="Arial" w:cs="Arial" w:eastAsia="Arial" w:hAnsi="Arial"/>
          <w:sz w:val="18"/>
          <w:szCs w:val="18"/>
          <w:color w:val="auto"/>
        </w:rPr>
        <w:t>Net cash used in investing activities primarily relates to capital expenditures to support our investments in property, plant and equipment, offset by proceeds from sales of certain fixed assets.</w:t>
      </w:r>
    </w:p>
    <w:p>
      <w:pPr>
        <w:spacing w:after="0" w:line="97"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In the three months ended March 29, 2025, net cash used in investing activities was $4.1 million and consisted of $4.5 million in cash</w:t>
      </w:r>
    </w:p>
    <w:p>
      <w:pPr>
        <w:spacing w:after="0" w:line="25" w:lineRule="exact"/>
        <w:rPr>
          <w:sz w:val="20"/>
          <w:szCs w:val="20"/>
          <w:color w:val="auto"/>
        </w:rPr>
      </w:pPr>
    </w:p>
    <w:p>
      <w:pPr>
        <w:ind w:right="200"/>
        <w:spacing w:after="0" w:line="297" w:lineRule="auto"/>
        <w:rPr>
          <w:sz w:val="20"/>
          <w:szCs w:val="20"/>
          <w:color w:val="auto"/>
        </w:rPr>
      </w:pPr>
      <w:r>
        <w:rPr>
          <w:rFonts w:ascii="Arial" w:cs="Arial" w:eastAsia="Arial" w:hAnsi="Arial"/>
          <w:sz w:val="18"/>
          <w:szCs w:val="18"/>
          <w:color w:val="auto"/>
        </w:rPr>
        <w:t>outflows for purchases of property, plant and equipment, primarily driven by investments in production equipment and facilities, partially offset by $0.3 million in proceeds from sales of certain fixed assets.</w:t>
      </w:r>
    </w:p>
    <w:p>
      <w:pPr>
        <w:spacing w:after="0" w:line="104" w:lineRule="exact"/>
        <w:rPr>
          <w:sz w:val="20"/>
          <w:szCs w:val="20"/>
          <w:color w:val="auto"/>
        </w:rPr>
      </w:pPr>
    </w:p>
    <w:p>
      <w:pPr>
        <w:ind w:right="40" w:firstLine="318"/>
        <w:spacing w:after="0" w:line="283" w:lineRule="auto"/>
        <w:rPr>
          <w:sz w:val="20"/>
          <w:szCs w:val="20"/>
          <w:color w:val="auto"/>
        </w:rPr>
      </w:pPr>
      <w:r>
        <w:rPr>
          <w:rFonts w:ascii="Arial" w:cs="Arial" w:eastAsia="Arial" w:hAnsi="Arial"/>
          <w:sz w:val="18"/>
          <w:szCs w:val="18"/>
          <w:color w:val="auto"/>
        </w:rPr>
        <w:t>In the three months ended March 30, 2024, net cash used in investing activities was $0.3 million and consisted of $1.2 million in cash outflows for purchases of property, plant and equipment, partially offset by $0.5 million in proceeds from the return of security deposits and $0.4 million in proceeds from sales of certain fixed assets.</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Net Cash Used in Financing Activities</w:t>
      </w:r>
    </w:p>
    <w:p>
      <w:pPr>
        <w:spacing w:after="0" w:line="177" w:lineRule="exact"/>
        <w:rPr>
          <w:sz w:val="20"/>
          <w:szCs w:val="20"/>
          <w:color w:val="auto"/>
        </w:rPr>
      </w:pPr>
    </w:p>
    <w:p>
      <w:pPr>
        <w:ind w:right="280" w:firstLine="318"/>
        <w:spacing w:after="0" w:line="283" w:lineRule="auto"/>
        <w:rPr>
          <w:sz w:val="20"/>
          <w:szCs w:val="20"/>
          <w:color w:val="auto"/>
        </w:rPr>
      </w:pPr>
      <w:r>
        <w:rPr>
          <w:rFonts w:ascii="Arial" w:cs="Arial" w:eastAsia="Arial" w:hAnsi="Arial"/>
          <w:sz w:val="18"/>
          <w:szCs w:val="18"/>
          <w:color w:val="auto"/>
        </w:rPr>
        <w:t>In the three months ended March 29, 2025, net cash used in financing activities was $0.6 million, primarily from $0.2 million in payments under finance lease obligations, $0.2 million in payments of minimum withholding taxes on net share settlement of equity awards and $0.1 million in debt issuance costs.</w:t>
      </w:r>
    </w:p>
    <w:p>
      <w:pPr>
        <w:spacing w:after="0" w:line="116" w:lineRule="exact"/>
        <w:rPr>
          <w:sz w:val="20"/>
          <w:szCs w:val="20"/>
          <w:color w:val="auto"/>
        </w:rPr>
      </w:pPr>
    </w:p>
    <w:p>
      <w:pPr>
        <w:ind w:right="280" w:firstLine="318"/>
        <w:spacing w:after="0" w:line="321" w:lineRule="auto"/>
        <w:rPr>
          <w:sz w:val="20"/>
          <w:szCs w:val="20"/>
          <w:color w:val="auto"/>
        </w:rPr>
      </w:pPr>
      <w:r>
        <w:rPr>
          <w:rFonts w:ascii="Arial" w:cs="Arial" w:eastAsia="Arial" w:hAnsi="Arial"/>
          <w:sz w:val="17"/>
          <w:szCs w:val="17"/>
          <w:color w:val="auto"/>
        </w:rPr>
        <w:t>In the three months ended March 30, 2024, net cash used in financing activities was $0.9 million, primarily from $0.5 million in payments under finance lease obligations and $0.4 million in payments of minimum withholding taxes on net share settlement of equity awards.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6" w:name="page67"/>
    <w:bookmarkEnd w:id="66"/>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have been no significant changes during the three months ended March 29, 2025 to the contractual obligations disclosed in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set forth in the 2024 10-K, other than the following:</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Debt Obligations</w:t>
      </w:r>
    </w:p>
    <w:p>
      <w:pPr>
        <w:spacing w:after="0" w:line="151" w:lineRule="exact"/>
        <w:rPr>
          <w:sz w:val="20"/>
          <w:szCs w:val="20"/>
          <w:color w:val="auto"/>
        </w:rPr>
      </w:pPr>
    </w:p>
    <w:p>
      <w:pPr>
        <w:ind w:right="40" w:firstLine="318"/>
        <w:spacing w:after="0" w:line="283" w:lineRule="auto"/>
        <w:rPr>
          <w:sz w:val="20"/>
          <w:szCs w:val="20"/>
          <w:color w:val="auto"/>
        </w:rPr>
      </w:pPr>
      <w:r>
        <w:rPr>
          <w:rFonts w:ascii="Arial" w:cs="Arial" w:eastAsia="Arial" w:hAnsi="Arial"/>
          <w:sz w:val="18"/>
          <w:szCs w:val="18"/>
          <w:color w:val="auto"/>
        </w:rPr>
        <w:t xml:space="preserve">In March 2021, we issued a total of $1.15 billion aggregate principal amount of Notes. The proceeds from the issuance of the Notes were approximately $1.0 billion, net of capped call transaction costs of $84.0 million and debt issuance costs totaling $23.6 million. See </w:t>
      </w:r>
      <w:r>
        <w:rPr>
          <w:rFonts w:ascii="Arial" w:cs="Arial" w:eastAsia="Arial" w:hAnsi="Arial"/>
          <w:sz w:val="18"/>
          <w:szCs w:val="18"/>
          <w:u w:val="single" w:color="auto"/>
          <w:color w:val="0000FF"/>
        </w:rPr>
        <w:t>Note 6</w:t>
      </w:r>
      <w:r>
        <w:rPr>
          <w:rFonts w:ascii="Arial" w:cs="Arial" w:eastAsia="Arial" w:hAnsi="Arial"/>
          <w:sz w:val="18"/>
          <w:szCs w:val="18"/>
          <w:color w:val="auto"/>
        </w:rPr>
        <w:t xml:space="preserve">, </w:t>
      </w:r>
      <w:r>
        <w:rPr>
          <w:rFonts w:ascii="Arial" w:cs="Arial" w:eastAsia="Arial" w:hAnsi="Arial"/>
          <w:sz w:val="18"/>
          <w:szCs w:val="18"/>
          <w:i w:val="1"/>
          <w:iCs w:val="1"/>
          <w:color w:val="auto"/>
        </w:rPr>
        <w:t>Debt</w:t>
      </w:r>
      <w:r>
        <w:rPr>
          <w:rFonts w:ascii="Arial" w:cs="Arial" w:eastAsia="Arial" w:hAnsi="Arial"/>
          <w:sz w:val="18"/>
          <w:szCs w:val="18"/>
          <w:color w:val="auto"/>
        </w:rPr>
        <w:t>, to the Notes to Unaudited Condensed Consolidated Financial Statements included elsewhere in this report.</w:t>
      </w:r>
    </w:p>
    <w:p>
      <w:pPr>
        <w:spacing w:after="0" w:line="116" w:lineRule="exact"/>
        <w:rPr>
          <w:sz w:val="20"/>
          <w:szCs w:val="20"/>
          <w:color w:val="auto"/>
        </w:rPr>
      </w:pPr>
    </w:p>
    <w:p>
      <w:pPr>
        <w:ind w:right="60" w:firstLine="318"/>
        <w:spacing w:after="0" w:line="271" w:lineRule="auto"/>
        <w:rPr>
          <w:sz w:val="20"/>
          <w:szCs w:val="20"/>
          <w:color w:val="auto"/>
        </w:rPr>
      </w:pPr>
      <w:r>
        <w:rPr>
          <w:rFonts w:ascii="Arial" w:cs="Arial" w:eastAsia="Arial" w:hAnsi="Arial"/>
          <w:sz w:val="18"/>
          <w:szCs w:val="18"/>
          <w:color w:val="auto"/>
        </w:rPr>
        <w:t xml:space="preserve">On May 7, 2025, we entered into the Loan and Security Agreement with the Lenders and certain of our subsidiaries, as guarantors, pursuant to which the Lenders agreed to provide for the Delayed Draw Term Loan Facility in an aggregate principal amount of up to $100.0 million. In connection with the Loan and Security Agreement, we also entered into the Warrant Agreement relating to the issuance of the Warrants that grant the Lenders the right to purchase up to, in the aggregate, 9,558,635 shares of our common stock. The Loan and Security Agreement provides that, at each funding date of any Delayed Draw Term Loan, we will execute and deliver to the applicable Lenders Warrants representing the pro rata portion of the Maximum Warrant Share Amount based on the amount of Delayed Draw Term Loans provided by such Lender on the date thereof. See </w:t>
      </w:r>
      <w:r>
        <w:rPr>
          <w:rFonts w:ascii="Arial" w:cs="Arial" w:eastAsia="Arial" w:hAnsi="Arial"/>
          <w:sz w:val="18"/>
          <w:szCs w:val="18"/>
          <w:i w:val="1"/>
          <w:iCs w:val="1"/>
          <w:color w:val="auto"/>
        </w:rPr>
        <w:t>Liquidity—Loan and Security Agreement; Warrant Agreement</w:t>
      </w:r>
      <w:r>
        <w:rPr>
          <w:rFonts w:ascii="Arial" w:cs="Arial" w:eastAsia="Arial" w:hAnsi="Arial"/>
          <w:sz w:val="18"/>
          <w:szCs w:val="18"/>
          <w:color w:val="auto"/>
        </w:rPr>
        <w:t xml:space="preserve"> above and </w:t>
      </w:r>
      <w:r>
        <w:rPr>
          <w:rFonts w:ascii="Arial" w:cs="Arial" w:eastAsia="Arial" w:hAnsi="Arial"/>
          <w:sz w:val="18"/>
          <w:szCs w:val="18"/>
          <w:u w:val="single" w:color="auto"/>
          <w:color w:val="0000FF"/>
        </w:rPr>
        <w:t>Note 14</w:t>
      </w:r>
      <w:r>
        <w:rPr>
          <w:rFonts w:ascii="Arial" w:cs="Arial" w:eastAsia="Arial" w:hAnsi="Arial"/>
          <w:sz w:val="18"/>
          <w:szCs w:val="18"/>
          <w:color w:val="auto"/>
        </w:rPr>
        <w:t xml:space="preserve">, </w:t>
      </w:r>
      <w:r>
        <w:rPr>
          <w:rFonts w:ascii="Arial" w:cs="Arial" w:eastAsia="Arial" w:hAnsi="Arial"/>
          <w:sz w:val="18"/>
          <w:szCs w:val="18"/>
          <w:i w:val="1"/>
          <w:iCs w:val="1"/>
          <w:color w:val="auto"/>
        </w:rPr>
        <w:t>Subsequent Event</w:t>
      </w:r>
      <w:r>
        <w:rPr>
          <w:rFonts w:ascii="Arial" w:cs="Arial" w:eastAsia="Arial" w:hAnsi="Arial"/>
          <w:sz w:val="18"/>
          <w:szCs w:val="18"/>
          <w:color w:val="auto"/>
        </w:rPr>
        <w:t>, to the Notes to Unaudited Condensed Consolidated Financial Statements included elsewhere in this report.</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Leases</w:t>
      </w:r>
    </w:p>
    <w:p>
      <w:pPr>
        <w:spacing w:after="0" w:line="177" w:lineRule="exact"/>
        <w:rPr>
          <w:sz w:val="20"/>
          <w:szCs w:val="20"/>
          <w:color w:val="auto"/>
        </w:rPr>
      </w:pPr>
    </w:p>
    <w:p>
      <w:pPr>
        <w:ind w:firstLine="318"/>
        <w:spacing w:after="0" w:line="268" w:lineRule="auto"/>
        <w:rPr>
          <w:sz w:val="20"/>
          <w:szCs w:val="20"/>
          <w:color w:val="auto"/>
        </w:rPr>
      </w:pPr>
      <w:r>
        <w:rPr>
          <w:rFonts w:ascii="Arial" w:cs="Arial" w:eastAsia="Arial" w:hAnsi="Arial"/>
          <w:sz w:val="18"/>
          <w:szCs w:val="18"/>
          <w:color w:val="auto"/>
        </w:rPr>
        <w:t>In 2021, we entered into the Campus Lease with HC Hornet Way, LLC, a Delaware limited liability company (the “Landlord”), to house our Campus Headquarters. Although we are involved in the design of the tenant improvements of the Campus Headquarters, we do not have title or possession of the assets during construction. In addition, we do not have the ability to control the leased Campus Headquarters until each phase of the tenant improvements is complete. We paid $1.8 million and $6.5 million in rent prepayments and payments towards construction costs of the Campus Headquarters in the three months ended March 29, 2025 and year ended December 31, 2024, respectively. On September 17, 2024, we entered into an amendment to the Campus Lease, which amendment: (i) revised the square footage of the premises, building and project to: (a) increase our base rent by approximately $851,000 over the initial lease term; (b) adjust our percentage share of direct expenses; and (c) increase the tenant improvement allowance to reflect a reduction in the scope of landlord’s work; (ii) specify which improvements must be removed by us from the premises if the premises are not occupied in their entirety throughout the initial lease term and first extension term; and (iii) address other ministerial matters concerning the Campus Lease. Aggregate payments towards base rent over the initial lease term associated with the remaining phases not yet delivered to us are approximately $79.6 million.</w:t>
      </w:r>
    </w:p>
    <w:p>
      <w:pPr>
        <w:spacing w:after="0" w:line="147" w:lineRule="exact"/>
        <w:rPr>
          <w:sz w:val="20"/>
          <w:szCs w:val="20"/>
          <w:color w:val="auto"/>
        </w:rPr>
      </w:pPr>
    </w:p>
    <w:p>
      <w:pPr>
        <w:ind w:right="300" w:firstLine="318"/>
        <w:spacing w:after="0" w:line="272" w:lineRule="auto"/>
        <w:rPr>
          <w:sz w:val="20"/>
          <w:szCs w:val="20"/>
          <w:color w:val="auto"/>
        </w:rPr>
      </w:pPr>
      <w:r>
        <w:rPr>
          <w:rFonts w:ascii="Arial" w:cs="Arial" w:eastAsia="Arial" w:hAnsi="Arial"/>
          <w:sz w:val="18"/>
          <w:szCs w:val="18"/>
          <w:color w:val="auto"/>
        </w:rPr>
        <w:t xml:space="preserve">Concurrent with our execution of the Campus Lease, we delivered to the Landlord a letter of credit in the amount of $12.5 million, as security for the performance of our obligations under the Campus Lease. The letter of credit is secured by a $12.6 million deposit included in our condensed consolidated balance sheets as Restricted cash, non-current as of March 29, 2025 and December 31, 2024. See </w:t>
      </w:r>
      <w:r>
        <w:rPr>
          <w:rFonts w:ascii="Arial" w:cs="Arial" w:eastAsia="Arial" w:hAnsi="Arial"/>
          <w:sz w:val="18"/>
          <w:szCs w:val="18"/>
          <w:u w:val="single" w:color="auto"/>
          <w:color w:val="0000FF"/>
        </w:rPr>
        <w:t>Note 3</w:t>
      </w:r>
      <w:r>
        <w:rPr>
          <w:rFonts w:ascii="Arial" w:cs="Arial" w:eastAsia="Arial" w:hAnsi="Arial"/>
          <w:sz w:val="18"/>
          <w:szCs w:val="18"/>
          <w:color w:val="auto"/>
        </w:rPr>
        <w:t xml:space="preserve">, Leases, and </w:t>
      </w:r>
      <w:r>
        <w:rPr>
          <w:rFonts w:ascii="Arial" w:cs="Arial" w:eastAsia="Arial" w:hAnsi="Arial"/>
          <w:sz w:val="18"/>
          <w:szCs w:val="18"/>
          <w:u w:val="single" w:color="auto"/>
          <w:color w:val="0000FF"/>
        </w:rPr>
        <w:t>Note 9</w:t>
      </w:r>
      <w:r>
        <w:rPr>
          <w:rFonts w:ascii="Arial" w:cs="Arial" w:eastAsia="Arial" w:hAnsi="Arial"/>
          <w:sz w:val="18"/>
          <w:szCs w:val="18"/>
          <w:color w:val="auto"/>
        </w:rPr>
        <w:t>, Commitments and Contingencies, to the Notes to Unaudited Condensed Consolidated Financial Statements included elsewhere in this report.</w:t>
      </w:r>
    </w:p>
    <w:p>
      <w:pPr>
        <w:spacing w:after="0" w:line="126" w:lineRule="exact"/>
        <w:rPr>
          <w:sz w:val="20"/>
          <w:szCs w:val="20"/>
          <w:color w:val="auto"/>
        </w:rPr>
      </w:pPr>
    </w:p>
    <w:p>
      <w:pPr>
        <w:ind w:right="20" w:firstLine="318"/>
        <w:spacing w:after="0" w:line="275" w:lineRule="auto"/>
        <w:rPr>
          <w:sz w:val="20"/>
          <w:szCs w:val="20"/>
          <w:color w:val="auto"/>
        </w:rPr>
      </w:pPr>
      <w:r>
        <w:rPr>
          <w:rFonts w:ascii="Arial" w:cs="Arial" w:eastAsia="Arial" w:hAnsi="Arial"/>
          <w:sz w:val="18"/>
          <w:szCs w:val="18"/>
          <w:color w:val="auto"/>
        </w:rPr>
        <w:t>Given our intention to reduce our overall operating expenses and cash expenditures, on February 2, 2024, we terminated the agreement to purchase a property adjacent to our manufacturing facility in Enschede, the Netherlands (the “Enschede Property”) and the security deposit was returned to us, and subsequently paid to the purchaser of the property to be applied towards the deposit and future lease payments. We entered into a lease agreement with the purchaser of the property to lease the approximately 114,000 square foot property for</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27" w:lineRule="exact"/>
        <w:rPr>
          <w:sz w:val="20"/>
          <w:szCs w:val="20"/>
          <w:color w:val="auto"/>
        </w:rPr>
      </w:pPr>
    </w:p>
    <w:p>
      <w:pPr>
        <w:ind w:right="320"/>
        <w:spacing w:after="0" w:line="290" w:lineRule="auto"/>
        <w:rPr>
          <w:sz w:val="20"/>
          <w:szCs w:val="20"/>
          <w:color w:val="auto"/>
        </w:rPr>
      </w:pPr>
      <w:r>
        <w:rPr>
          <w:rFonts w:ascii="Arial" w:cs="Arial" w:eastAsia="Arial" w:hAnsi="Arial"/>
          <w:sz w:val="18"/>
          <w:szCs w:val="18"/>
          <w:color w:val="auto"/>
        </w:rPr>
        <w:t>an initial period of five years with an option to renew for an additional five years at an annual rent of approximately €1.0 million. This lease is classified as a finance lease in our condensed consolidated balance sheet as of March 29, 2025.</w:t>
      </w:r>
    </w:p>
    <w:p>
      <w:pPr>
        <w:spacing w:after="0" w:line="9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China Investment and Lease Agreement</w:t>
      </w:r>
    </w:p>
    <w:p>
      <w:pPr>
        <w:spacing w:after="0" w:line="151" w:lineRule="exact"/>
        <w:rPr>
          <w:sz w:val="20"/>
          <w:szCs w:val="20"/>
          <w:color w:val="auto"/>
        </w:rPr>
      </w:pPr>
    </w:p>
    <w:p>
      <w:pPr>
        <w:ind w:firstLine="318"/>
        <w:spacing w:after="0" w:line="273" w:lineRule="auto"/>
        <w:rPr>
          <w:sz w:val="20"/>
          <w:szCs w:val="20"/>
          <w:color w:val="auto"/>
        </w:rPr>
      </w:pPr>
      <w:r>
        <w:rPr>
          <w:rFonts w:ascii="Arial" w:cs="Arial" w:eastAsia="Arial" w:hAnsi="Arial"/>
          <w:sz w:val="18"/>
          <w:szCs w:val="18"/>
          <w:color w:val="auto"/>
        </w:rPr>
        <w:t xml:space="preserve">In 2020, we and our subsidiary, BYND JX, entered into an investment agreement with the Administrative Committee (the “JX Committee”) of the Jiaxing Economic &amp; Technological Development Zone (the “JXEDZ”) pursuant to which, among other things, BYND JX has agreed to make certain investments in the JXEDZ in two phases of development, and we have agreed to guarantee certain repayment obligations of BYND JX under such agreement. In the three months ended March 29, 2025 and March 30, 2024, respectively, we received $0 and $0.5 million in subsidies from the JXEDZ Finance Bureau. See </w:t>
      </w:r>
      <w:r>
        <w:rPr>
          <w:rFonts w:ascii="Arial" w:cs="Arial" w:eastAsia="Arial" w:hAnsi="Arial"/>
          <w:sz w:val="18"/>
          <w:szCs w:val="18"/>
          <w:u w:val="single" w:color="auto"/>
          <w:color w:val="0000FF"/>
        </w:rPr>
        <w:t>Note 9</w:t>
      </w:r>
      <w:r>
        <w:rPr>
          <w:rFonts w:ascii="Arial" w:cs="Arial" w:eastAsia="Arial" w:hAnsi="Arial"/>
          <w:sz w:val="18"/>
          <w:szCs w:val="18"/>
          <w:color w:val="auto"/>
        </w:rPr>
        <w:t>, Commitments and Contingencies, to the Notes to Unaudited Condensed Consolidated Financial Statements included elsewhere in this report.</w:t>
      </w:r>
    </w:p>
    <w:p>
      <w:pPr>
        <w:spacing w:after="0" w:line="124" w:lineRule="exact"/>
        <w:rPr>
          <w:sz w:val="20"/>
          <w:szCs w:val="20"/>
          <w:color w:val="auto"/>
        </w:rPr>
      </w:pPr>
    </w:p>
    <w:p>
      <w:pPr>
        <w:ind w:right="20" w:firstLine="318"/>
        <w:spacing w:after="0" w:line="305" w:lineRule="auto"/>
        <w:rPr>
          <w:sz w:val="20"/>
          <w:szCs w:val="20"/>
          <w:color w:val="auto"/>
        </w:rPr>
      </w:pPr>
      <w:r>
        <w:rPr>
          <w:rFonts w:ascii="Arial" w:cs="Arial" w:eastAsia="Arial" w:hAnsi="Arial"/>
          <w:sz w:val="18"/>
          <w:szCs w:val="18"/>
          <w:color w:val="auto"/>
        </w:rPr>
        <w:t>As part of our Global Operations Review, on February 24, 2025, our board of directors approved a plan to suspend our operational activities in China, which are estimated to cease by the end of the second quarter of 2025.</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The Planet Partnership</w:t>
      </w:r>
    </w:p>
    <w:p>
      <w:pPr>
        <w:spacing w:after="0" w:line="177" w:lineRule="exact"/>
        <w:rPr>
          <w:sz w:val="20"/>
          <w:szCs w:val="20"/>
          <w:color w:val="auto"/>
        </w:rPr>
      </w:pPr>
    </w:p>
    <w:p>
      <w:pPr>
        <w:ind w:right="240" w:firstLine="318"/>
        <w:spacing w:after="0" w:line="272" w:lineRule="auto"/>
        <w:rPr>
          <w:sz w:val="20"/>
          <w:szCs w:val="20"/>
          <w:color w:val="auto"/>
        </w:rPr>
      </w:pPr>
      <w:r>
        <w:rPr>
          <w:rFonts w:ascii="Arial" w:cs="Arial" w:eastAsia="Arial" w:hAnsi="Arial"/>
          <w:sz w:val="18"/>
          <w:szCs w:val="18"/>
          <w:color w:val="auto"/>
        </w:rPr>
        <w:t xml:space="preserve">In 2021, we entered into TPP, a joint venture with PepsiCo, Inc., to develop, produce and market innovative snack products made from plant-based protein. In the three months ended March 29, 2025 and March 30, 2024, we recognized our share of the loss (income) in TPP in the amount of $11,000 and $(7,000), respectively. As of March 29, 2025 and December 31, 2024, we had contributed our share of the investment in TPP in the amount of $27.6 million. See </w:t>
      </w:r>
      <w:r>
        <w:rPr>
          <w:rFonts w:ascii="Arial" w:cs="Arial" w:eastAsia="Arial" w:hAnsi="Arial"/>
          <w:sz w:val="18"/>
          <w:szCs w:val="18"/>
          <w:u w:val="single" w:color="auto"/>
          <w:color w:val="0000FF"/>
        </w:rPr>
        <w:t>Note 9</w:t>
      </w:r>
      <w:r>
        <w:rPr>
          <w:rFonts w:ascii="Arial" w:cs="Arial" w:eastAsia="Arial" w:hAnsi="Arial"/>
          <w:sz w:val="18"/>
          <w:szCs w:val="18"/>
          <w:color w:val="auto"/>
        </w:rPr>
        <w:t xml:space="preserv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Note 12</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to the Notes to Unaudited Condensed Consolidated Financial Statements included elsewhere in this report.</w:t>
      </w:r>
    </w:p>
    <w:p>
      <w:pPr>
        <w:spacing w:after="0" w:line="139" w:lineRule="exact"/>
        <w:rPr>
          <w:sz w:val="20"/>
          <w:szCs w:val="20"/>
          <w:color w:val="auto"/>
        </w:rPr>
      </w:pPr>
    </w:p>
    <w:p>
      <w:pPr>
        <w:ind w:right="300" w:firstLine="318"/>
        <w:spacing w:after="0" w:line="275" w:lineRule="auto"/>
        <w:rPr>
          <w:sz w:val="20"/>
          <w:szCs w:val="20"/>
          <w:color w:val="auto"/>
        </w:rPr>
      </w:pPr>
      <w:r>
        <w:rPr>
          <w:rFonts w:ascii="Arial" w:cs="Arial" w:eastAsia="Arial" w:hAnsi="Arial"/>
          <w:sz w:val="18"/>
          <w:szCs w:val="18"/>
          <w:color w:val="auto"/>
        </w:rPr>
        <w:t>In 2023, we continued the process of renegotiating certain contracts and changing operating activities related to Beyond Meat Jerky and assumed sales and distribution responsibilities associated with Beyond Meat Jerky in the fourth quarter of 2023. As part of our Global Operations Review, in 2023, we made the decision to discontinue the Beyond Meat Jerky product line and discontinued it in 2024.</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77" w:lineRule="exact"/>
        <w:rPr>
          <w:sz w:val="20"/>
          <w:szCs w:val="20"/>
          <w:color w:val="auto"/>
        </w:rPr>
      </w:pPr>
    </w:p>
    <w:p>
      <w:pPr>
        <w:ind w:right="20" w:firstLine="318"/>
        <w:spacing w:after="0" w:line="270" w:lineRule="auto"/>
        <w:rPr>
          <w:sz w:val="20"/>
          <w:szCs w:val="20"/>
          <w:color w:val="auto"/>
        </w:rPr>
      </w:pPr>
      <w:r>
        <w:rPr>
          <w:rFonts w:ascii="Arial" w:cs="Arial" w:eastAsia="Arial" w:hAnsi="Arial"/>
          <w:sz w:val="18"/>
          <w:szCs w:val="18"/>
          <w:color w:val="auto"/>
        </w:rPr>
        <w:t xml:space="preserve">In 2022, we entered into a co-manufacturing agreement (“Agreement”) with a co-manufacturer to manufacture various products. The Agreement included a minimum order quantity commitment per month and an aggregate quantity over a five-year term. On November 21, 2023, we terminated the Agreement because the co-manufacturer failed to meet its obligations under the Agreement and recorded $4.4 million in termination-related charges. In March 2024, the co-manufacturer brought an action against us in a confidential arbitration proceeding. See </w:t>
      </w:r>
      <w:r>
        <w:rPr>
          <w:rFonts w:ascii="Arial" w:cs="Arial" w:eastAsia="Arial" w:hAnsi="Arial"/>
          <w:sz w:val="18"/>
          <w:szCs w:val="18"/>
          <w:u w:val="single" w:color="auto"/>
          <w:color w:val="0000FF"/>
        </w:rPr>
        <w:t>Note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9</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i w:val="1"/>
          <w:iCs w:val="1"/>
          <w:color w:val="000000"/>
        </w:rPr>
        <w:t>Commitments and Contingencies—Litigation—Arbitration with Former Co-Manufacturer</w:t>
      </w:r>
      <w:r>
        <w:rPr>
          <w:rFonts w:ascii="Arial" w:cs="Arial" w:eastAsia="Arial" w:hAnsi="Arial"/>
          <w:sz w:val="18"/>
          <w:szCs w:val="18"/>
          <w:color w:val="000000"/>
        </w:rPr>
        <w:t>, to the Notes to Unaudited Condensed Consolidated</w:t>
      </w:r>
      <w:r>
        <w:rPr>
          <w:rFonts w:ascii="Arial" w:cs="Arial" w:eastAsia="Arial" w:hAnsi="Arial"/>
          <w:sz w:val="18"/>
          <w:szCs w:val="18"/>
          <w:color w:val="0000FF"/>
        </w:rPr>
        <w:t xml:space="preserve"> </w:t>
      </w:r>
      <w:r>
        <w:rPr>
          <w:rFonts w:ascii="Arial" w:cs="Arial" w:eastAsia="Arial" w:hAnsi="Arial"/>
          <w:sz w:val="18"/>
          <w:szCs w:val="18"/>
          <w:color w:val="000000"/>
        </w:rPr>
        <w:t>Financial Statements included elsewhere in this report.</w:t>
      </w:r>
    </w:p>
    <w:p>
      <w:pPr>
        <w:spacing w:after="0" w:line="140" w:lineRule="exact"/>
        <w:rPr>
          <w:sz w:val="20"/>
          <w:szCs w:val="20"/>
          <w:color w:val="auto"/>
        </w:rPr>
      </w:pPr>
    </w:p>
    <w:p>
      <w:pPr>
        <w:ind w:right="140" w:firstLine="318"/>
        <w:spacing w:after="0" w:line="272" w:lineRule="auto"/>
        <w:rPr>
          <w:sz w:val="20"/>
          <w:szCs w:val="20"/>
          <w:color w:val="auto"/>
        </w:rPr>
      </w:pPr>
      <w:r>
        <w:rPr>
          <w:rFonts w:ascii="Arial" w:cs="Arial" w:eastAsia="Arial" w:hAnsi="Arial"/>
          <w:sz w:val="18"/>
          <w:szCs w:val="18"/>
          <w:color w:val="auto"/>
        </w:rPr>
        <w:t>On July 1, 2023, we and Roquette Frères entered into a second amendment (the “Second Amendment”) to our existing pea protein supply agreement dated January 10, 2020, as amended by the first amendment dated August 3, 2022 (the “First Amendment”). Pursuant to the Second Amendment, the terms of the agreement and existing purchase commitments set forth in the First Amendment were revised and extended through December 31, 2025. Pursuant to the Second Amendment, the purchase commitment was revised such that we had committed to purchase pea protein inventory totaling $17.0 million in 2025, of which $13.6 million remains as of March 29, 2025.</w:t>
      </w:r>
    </w:p>
    <w:p>
      <w:pPr>
        <w:spacing w:after="0" w:line="126" w:lineRule="exact"/>
        <w:rPr>
          <w:sz w:val="20"/>
          <w:szCs w:val="20"/>
          <w:color w:val="auto"/>
        </w:rPr>
      </w:pPr>
    </w:p>
    <w:p>
      <w:pPr>
        <w:ind w:right="440" w:firstLine="318"/>
        <w:spacing w:after="0" w:line="305" w:lineRule="auto"/>
        <w:rPr>
          <w:sz w:val="20"/>
          <w:szCs w:val="20"/>
          <w:color w:val="auto"/>
        </w:rPr>
      </w:pPr>
      <w:r>
        <w:rPr>
          <w:rFonts w:ascii="Arial" w:cs="Arial" w:eastAsia="Arial" w:hAnsi="Arial"/>
          <w:sz w:val="18"/>
          <w:szCs w:val="18"/>
          <w:color w:val="auto"/>
        </w:rPr>
        <w:t>As of March 29, 2025, we had also committed to purchase flavor ingredients inventory totaling $1.8 million in the remainder of 2025. In addition, as of March 29, 2025, we had approximately $2.3 million in outstanding</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27" w:lineRule="exact"/>
        <w:rPr>
          <w:sz w:val="20"/>
          <w:szCs w:val="20"/>
          <w:color w:val="auto"/>
        </w:rPr>
      </w:pPr>
    </w:p>
    <w:p>
      <w:pPr>
        <w:ind w:right="100"/>
        <w:spacing w:after="0" w:line="290" w:lineRule="auto"/>
        <w:rPr>
          <w:sz w:val="20"/>
          <w:szCs w:val="20"/>
          <w:color w:val="auto"/>
        </w:rPr>
      </w:pPr>
      <w:r>
        <w:rPr>
          <w:rFonts w:ascii="Arial" w:cs="Arial" w:eastAsia="Arial" w:hAnsi="Arial"/>
          <w:sz w:val="18"/>
          <w:szCs w:val="18"/>
          <w:color w:val="auto"/>
        </w:rPr>
        <w:t>purchase order commitments for capital expenditures primarily to purchase property, plant and equipment including machinery and equipment, payments for which will be due within twelve months of March 29, 2025.</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Settlement of Consumer Class Actions Regarding Protein Claims</w:t>
      </w:r>
    </w:p>
    <w:p>
      <w:pPr>
        <w:spacing w:after="0" w:line="164" w:lineRule="exact"/>
        <w:rPr>
          <w:sz w:val="20"/>
          <w:szCs w:val="20"/>
          <w:color w:val="auto"/>
        </w:rPr>
      </w:pPr>
    </w:p>
    <w:p>
      <w:pPr>
        <w:ind w:right="180" w:firstLine="318"/>
        <w:spacing w:after="0" w:line="260" w:lineRule="auto"/>
        <w:rPr>
          <w:sz w:val="20"/>
          <w:szCs w:val="20"/>
          <w:color w:val="auto"/>
        </w:rPr>
      </w:pPr>
      <w:r>
        <w:rPr>
          <w:rFonts w:ascii="Arial" w:cs="Arial" w:eastAsia="Arial" w:hAnsi="Arial"/>
          <w:sz w:val="18"/>
          <w:szCs w:val="18"/>
          <w:color w:val="auto"/>
        </w:rPr>
        <w:t xml:space="preserve">On May 6, 2024, we entered into a confidential binding settlement term sheet with respect to certain consumer class action lawsuits that originated in 2022. On July 8, 2024, the parties entered into a class action settlement agreement, pursuant to which we agreed to contribute $7.5 million to a settlement fund in full satisfaction of all settlement costs and attorneys’ fees. See </w:t>
      </w:r>
      <w:r>
        <w:rPr>
          <w:rFonts w:ascii="Arial" w:cs="Arial" w:eastAsia="Arial" w:hAnsi="Arial"/>
          <w:sz w:val="18"/>
          <w:szCs w:val="18"/>
          <w:u w:val="single" w:color="auto"/>
          <w:color w:val="0000FF"/>
        </w:rPr>
        <w:t>Note 9,</w:t>
      </w:r>
      <w:r>
        <w:rPr>
          <w:rFonts w:ascii="Arial" w:cs="Arial" w:eastAsia="Arial" w:hAnsi="Arial"/>
          <w:sz w:val="18"/>
          <w:szCs w:val="18"/>
          <w:color w:val="auto"/>
        </w:rPr>
        <w:t xml:space="preserv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w:t>
      </w:r>
      <w:r>
        <w:rPr>
          <w:rFonts w:ascii="Arial" w:cs="Arial" w:eastAsia="Arial" w:hAnsi="Arial"/>
          <w:sz w:val="18"/>
          <w:szCs w:val="18"/>
          <w:i w:val="1"/>
          <w:iCs w:val="1"/>
          <w:color w:val="auto"/>
        </w:rPr>
        <w:t>Litigation—Consumer Class Actions Regarding Protein Claims</w:t>
      </w:r>
      <w:r>
        <w:rPr>
          <w:rFonts w:ascii="Arial" w:cs="Arial" w:eastAsia="Arial" w:hAnsi="Arial"/>
          <w:sz w:val="18"/>
          <w:szCs w:val="18"/>
          <w:color w:val="auto"/>
        </w:rPr>
        <w:t>, to the Notes to Unaudited Condensed Consolidated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elsewhere in this report.</w:t>
      </w:r>
    </w:p>
    <w:p>
      <w:pPr>
        <w:spacing w:after="0" w:line="151" w:lineRule="exact"/>
        <w:rPr>
          <w:sz w:val="20"/>
          <w:szCs w:val="20"/>
          <w:color w:val="auto"/>
        </w:rPr>
      </w:pPr>
    </w:p>
    <w:p>
      <w:pPr>
        <w:ind w:right="140" w:firstLine="318"/>
        <w:spacing w:after="0" w:line="273" w:lineRule="auto"/>
        <w:rPr>
          <w:sz w:val="20"/>
          <w:szCs w:val="20"/>
          <w:color w:val="auto"/>
        </w:rPr>
      </w:pPr>
      <w:r>
        <w:rPr>
          <w:rFonts w:ascii="Arial" w:cs="Arial" w:eastAsia="Arial" w:hAnsi="Arial"/>
          <w:sz w:val="18"/>
          <w:szCs w:val="18"/>
          <w:color w:val="auto"/>
        </w:rPr>
        <w:t>On January 23, 2025, the court issued a minute order approving the class action settlement and indicating a final approval order will be entered. On March 24, 2025, the court issued the final approval order. We paid $250,000 to the settlement fund in August 2024. The final effective date of the settlement agreement was on April 24, 2025. We recorded $7.5 million in SG&amp;A expenses in our condensed consolidated statement of operations in the year ended December 31, 2024 and paid $250,000 in 2024 and included $7.25 million in Accrued litigation settlement costs in our condensed consolidated balance sheets as of March 29, 2025 and December 31, 2024. Our final payment of $7.25 million is to be paid into escrow by May 14, 2025.</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do not have any off-balance sheet arrangements or any holdings in variable interest entities.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79" w:lineRule="exact"/>
        <w:rPr>
          <w:sz w:val="20"/>
          <w:szCs w:val="20"/>
          <w:color w:val="auto"/>
        </w:rPr>
      </w:pPr>
    </w:p>
    <w:p>
      <w:pPr>
        <w:ind w:right="240" w:firstLine="318"/>
        <w:spacing w:after="0" w:line="296" w:lineRule="auto"/>
        <w:rPr>
          <w:sz w:val="20"/>
          <w:szCs w:val="20"/>
          <w:color w:val="auto"/>
        </w:rPr>
      </w:pPr>
      <w:r>
        <w:rPr>
          <w:rFonts w:ascii="Arial" w:cs="Arial" w:eastAsia="Arial" w:hAnsi="Arial"/>
          <w:sz w:val="17"/>
          <w:szCs w:val="17"/>
          <w:color w:val="auto"/>
        </w:rPr>
        <w:t>We have one operating segment and one reportable segment, in the plant-based meat industry, offering a portfolio of revolutionary plant-based meat. Our CODM, who is our Chief Executive Officer and President, reviews operating results to make decisions about allocating resources and assessing performance for the entire company. We derive revenue primarily in North America and Europe and manage the business activities on a consolidated basis. Our CODM allocates resources and assesses performance at the consolidated level.</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9" w:lineRule="exact"/>
        <w:rPr>
          <w:sz w:val="20"/>
          <w:szCs w:val="20"/>
          <w:color w:val="auto"/>
        </w:rPr>
      </w:pPr>
    </w:p>
    <w:p>
      <w:pPr>
        <w:ind w:right="180" w:firstLine="318"/>
        <w:spacing w:after="0" w:line="270" w:lineRule="auto"/>
        <w:rPr>
          <w:sz w:val="20"/>
          <w:szCs w:val="20"/>
          <w:color w:val="auto"/>
        </w:rPr>
      </w:pPr>
      <w:r>
        <w:rPr>
          <w:rFonts w:ascii="Arial" w:cs="Arial" w:eastAsia="Arial" w:hAnsi="Arial"/>
          <w:sz w:val="18"/>
          <w:szCs w:val="18"/>
          <w:color w:val="auto"/>
        </w:rPr>
        <w:t>In preparing our financial statements in accordance with GAAP, we are required to make estimates and assumptions that affect the amounts of assets, liabilities, revenue, costs and expenses, and disclosure of contingent assets and liabilities that are reported in the financial statements and accompanying disclosures. We evaluate our estimates and assumptions on an ongoing basis. Our estimates are based on historical experience and various other assumptions that we believe to be reasonable under the circumstances. Our actual results may differ from these estimates and assumptions. To the extent that there are differences between our estimates and actual results, our future financial statement presentation, financial condition, results of operations and cash flows will be affected.</w:t>
      </w:r>
    </w:p>
    <w:p>
      <w:pPr>
        <w:spacing w:after="0" w:line="127" w:lineRule="exact"/>
        <w:rPr>
          <w:sz w:val="20"/>
          <w:szCs w:val="20"/>
          <w:color w:val="auto"/>
        </w:rPr>
      </w:pPr>
    </w:p>
    <w:p>
      <w:pPr>
        <w:ind w:right="40" w:firstLine="318"/>
        <w:spacing w:after="0" w:line="267" w:lineRule="auto"/>
        <w:rPr>
          <w:sz w:val="20"/>
          <w:szCs w:val="20"/>
          <w:color w:val="auto"/>
        </w:rPr>
      </w:pPr>
      <w:r>
        <w:rPr>
          <w:rFonts w:ascii="Arial" w:cs="Arial" w:eastAsia="Arial" w:hAnsi="Arial"/>
          <w:sz w:val="18"/>
          <w:szCs w:val="18"/>
          <w:color w:val="auto"/>
        </w:rPr>
        <w:t xml:space="preserve">There have been no material changes in our critical accounting policies during the three months ended March 29, 2025, as compared to those disclosed in </w:t>
      </w:r>
      <w:r>
        <w:rPr>
          <w:rFonts w:ascii="Arial" w:cs="Arial" w:eastAsia="Arial" w:hAnsi="Arial"/>
          <w:sz w:val="18"/>
          <w:szCs w:val="18"/>
          <w:i w:val="1"/>
          <w:iCs w:val="1"/>
          <w:color w:val="auto"/>
        </w:rPr>
        <w:t>Management’s Discussion and Analysis of Financial Condition and Results of Operations—Critical Accounting Policies</w:t>
      </w:r>
      <w:r>
        <w:rPr>
          <w:rFonts w:ascii="Arial" w:cs="Arial" w:eastAsia="Arial" w:hAnsi="Arial"/>
          <w:sz w:val="18"/>
          <w:szCs w:val="18"/>
          <w:color w:val="auto"/>
        </w:rPr>
        <w:t xml:space="preserve"> in the 2024 10-K.</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7" w:lineRule="exact"/>
        <w:rPr>
          <w:sz w:val="20"/>
          <w:szCs w:val="20"/>
          <w:color w:val="auto"/>
        </w:rPr>
      </w:pPr>
    </w:p>
    <w:p>
      <w:pPr>
        <w:ind w:firstLine="318"/>
        <w:spacing w:after="0" w:line="275" w:lineRule="auto"/>
        <w:rPr>
          <w:sz w:val="20"/>
          <w:szCs w:val="20"/>
          <w:color w:val="auto"/>
        </w:rPr>
      </w:pPr>
      <w:r>
        <w:rPr>
          <w:rFonts w:ascii="Arial" w:cs="Arial" w:eastAsia="Arial" w:hAnsi="Arial"/>
          <w:sz w:val="18"/>
          <w:szCs w:val="18"/>
          <w:color w:val="auto"/>
        </w:rPr>
        <w:t>Our revenues are generated through sales of our products to distributors or customers. Revenue is recognized at the point in which the performance obligation under the terms of a contract with the customer have been satisfied and control has transferred. Our performance obligation is typically defined as the accepted purchase order, the direct-to-consumer order, or the contract, with the customer which requires us to deliver the requested products at agreed upon prices at the time and location of the customer’s choice. We generally do</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9" w:name="page70"/>
    <w:bookmarkEnd w:id="69"/>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not offer warranties or a right to return on the products we sell except in the instance of a product recall or other limited circumstances.</w:t>
      </w:r>
    </w:p>
    <w:p>
      <w:pPr>
        <w:spacing w:after="0" w:line="177" w:lineRule="exact"/>
        <w:rPr>
          <w:sz w:val="20"/>
          <w:szCs w:val="20"/>
          <w:color w:val="auto"/>
        </w:rPr>
      </w:pPr>
    </w:p>
    <w:p>
      <w:pPr>
        <w:ind w:right="60" w:firstLine="318"/>
        <w:spacing w:after="0" w:line="275" w:lineRule="auto"/>
        <w:rPr>
          <w:sz w:val="20"/>
          <w:szCs w:val="20"/>
          <w:color w:val="auto"/>
        </w:rPr>
      </w:pPr>
      <w:r>
        <w:rPr>
          <w:rFonts w:ascii="Arial" w:cs="Arial" w:eastAsia="Arial" w:hAnsi="Arial"/>
          <w:sz w:val="18"/>
          <w:szCs w:val="18"/>
          <w:color w:val="auto"/>
        </w:rPr>
        <w:t>Revenue is measured as the amount of consideration we expect to receive in exchange for fulfilling the performance obligation. Sales and other taxes we collect concurrent with the sale of products are excluded from revenue. Our normal payment terms vary by the type and location of our customers and the products offered. The time between invoicing and when payment is due is not significant. None of our customer contracts as of March 29, 2025 contains a significant financing component.</w:t>
      </w:r>
    </w:p>
    <w:p>
      <w:pPr>
        <w:spacing w:after="0" w:line="138" w:lineRule="exact"/>
        <w:rPr>
          <w:sz w:val="20"/>
          <w:szCs w:val="20"/>
          <w:color w:val="auto"/>
        </w:rPr>
      </w:pPr>
    </w:p>
    <w:p>
      <w:pPr>
        <w:ind w:firstLine="318"/>
        <w:spacing w:after="0" w:line="272" w:lineRule="auto"/>
        <w:rPr>
          <w:sz w:val="20"/>
          <w:szCs w:val="20"/>
          <w:color w:val="auto"/>
        </w:rPr>
      </w:pPr>
      <w:r>
        <w:rPr>
          <w:rFonts w:ascii="Arial" w:cs="Arial" w:eastAsia="Arial" w:hAnsi="Arial"/>
          <w:sz w:val="18"/>
          <w:szCs w:val="18"/>
          <w:color w:val="auto"/>
        </w:rPr>
        <w:t>We routinely offer sales discounts and promotions through various programs to our customers and consumers. These programs include rebates, temporary on-shelf price reductions, off-invoice discounts, retailer advertisements, product coupons and other trade activities. Provision for discounts and incentives are recorded in the same period in which the related revenues are recognized. At the end of each accounting period, we recognize a contra asset to accounts receivable for estimated sales discounts that have been incurred but not paid. The offsetting charge is recorded as a reduction of revenues in the same period when the expense is incurred.</w:t>
      </w:r>
    </w:p>
    <w:p>
      <w:pPr>
        <w:spacing w:after="0" w:line="126" w:lineRule="exact"/>
        <w:rPr>
          <w:sz w:val="20"/>
          <w:szCs w:val="20"/>
          <w:color w:val="auto"/>
        </w:rPr>
      </w:pPr>
    </w:p>
    <w:p>
      <w:pPr>
        <w:ind w:right="380" w:firstLine="318"/>
        <w:spacing w:after="0" w:line="305" w:lineRule="auto"/>
        <w:rPr>
          <w:sz w:val="20"/>
          <w:szCs w:val="20"/>
          <w:color w:val="auto"/>
        </w:rPr>
      </w:pPr>
      <w:r>
        <w:rPr>
          <w:rFonts w:ascii="Arial" w:cs="Arial" w:eastAsia="Arial" w:hAnsi="Arial"/>
          <w:sz w:val="18"/>
          <w:szCs w:val="18"/>
          <w:color w:val="auto"/>
        </w:rPr>
        <w:t>We recognize the incremental costs of obtaining contracts as an expense when incurred if the amortization period of the assets that we otherwise would have recognized is one year or less. The incremental cost to obtain contracts was not material.</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Inventories and Cost of Goods Sold</w:t>
      </w:r>
    </w:p>
    <w:p>
      <w:pPr>
        <w:spacing w:after="0" w:line="177" w:lineRule="exact"/>
        <w:rPr>
          <w:sz w:val="20"/>
          <w:szCs w:val="20"/>
          <w:color w:val="auto"/>
        </w:rPr>
      </w:pPr>
    </w:p>
    <w:p>
      <w:pPr>
        <w:ind w:right="40" w:firstLine="318"/>
        <w:spacing w:after="0" w:line="271" w:lineRule="auto"/>
        <w:rPr>
          <w:sz w:val="20"/>
          <w:szCs w:val="20"/>
          <w:color w:val="auto"/>
        </w:rPr>
      </w:pPr>
      <w:r>
        <w:rPr>
          <w:rFonts w:ascii="Arial" w:cs="Arial" w:eastAsia="Arial" w:hAnsi="Arial"/>
          <w:sz w:val="18"/>
          <w:szCs w:val="18"/>
          <w:color w:val="auto"/>
        </w:rPr>
        <w:t>Inventories are recorded at lower of cost or net realizable value. We account for inventory using the weighted average cost method. In addition to product cost, inventory costs include expenditures such as direct labor and certain supply and overhead expenses including in-bound shipping and handling costs incurred in bringing the inventory to its existing condition and location. Inventories are comprised primarily of raw materials, direct labor and overhead costs. Weighted average cost method is used to absorb raw materials, direct labor, and overhead into inventory. We review inventory quantities on hand and record a provision for excess and obsolete inventory based primarily on historical and forecasted demand, estimated shelf life of various raw materials and packaging, work in process and finished goods inventory, as well as the age of the inventory, among other factors.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79" w:lineRule="exact"/>
        <w:rPr>
          <w:sz w:val="20"/>
          <w:szCs w:val="20"/>
          <w:color w:val="auto"/>
        </w:rPr>
      </w:pPr>
    </w:p>
    <w:p>
      <w:pPr>
        <w:ind w:right="820" w:firstLine="318"/>
        <w:spacing w:after="0" w:line="283" w:lineRule="auto"/>
        <w:rPr>
          <w:sz w:val="20"/>
          <w:szCs w:val="20"/>
          <w:color w:val="auto"/>
        </w:rPr>
      </w:pPr>
      <w:r>
        <w:rPr>
          <w:rFonts w:ascii="Arial" w:cs="Arial" w:eastAsia="Arial" w:hAnsi="Arial"/>
          <w:sz w:val="18"/>
          <w:szCs w:val="18"/>
          <w:color w:val="auto"/>
        </w:rPr>
        <w:t xml:space="preserve">Please refer to </w:t>
      </w:r>
      <w:r>
        <w:rPr>
          <w:rFonts w:ascii="Arial" w:cs="Arial" w:eastAsia="Arial" w:hAnsi="Arial"/>
          <w:sz w:val="18"/>
          <w:szCs w:val="18"/>
          <w:u w:val="single" w:color="auto"/>
          <w:color w:val="0000FF"/>
        </w:rPr>
        <w:t>Note 2</w:t>
      </w:r>
      <w:r>
        <w:rPr>
          <w:rFonts w:ascii="Arial" w:cs="Arial" w:eastAsia="Arial" w:hAnsi="Arial"/>
          <w:sz w:val="18"/>
          <w:szCs w:val="18"/>
          <w:color w:val="auto"/>
        </w:rPr>
        <w:t xml:space="preserve">,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the Notes to Unaudited Condensed Consolidated Financial Statements included elsewhere in this report for a discussion of recently adopted accounting pronouncements and new accounting pronouncements that may impact us.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9" w:lineRule="exact"/>
        <w:rPr>
          <w:sz w:val="20"/>
          <w:szCs w:val="20"/>
          <w:color w:val="auto"/>
        </w:rPr>
      </w:pPr>
    </w:p>
    <w:p>
      <w:pPr>
        <w:ind w:right="220" w:firstLine="318"/>
        <w:spacing w:after="0" w:line="290" w:lineRule="auto"/>
        <w:rPr>
          <w:sz w:val="20"/>
          <w:szCs w:val="20"/>
          <w:color w:val="auto"/>
        </w:rPr>
      </w:pPr>
      <w:r>
        <w:rPr>
          <w:rFonts w:ascii="Arial" w:cs="Arial" w:eastAsia="Arial" w:hAnsi="Arial"/>
          <w:sz w:val="18"/>
          <w:szCs w:val="18"/>
          <w:color w:val="auto"/>
        </w:rPr>
        <w:t>We are exposed to certain market risks in the ordinary course of our business, including fluctuations in interest rates, raw material prices, foreign currency exchange fluctuations and inflation as follows:</w:t>
      </w:r>
    </w:p>
    <w:p>
      <w:pPr>
        <w:spacing w:after="0" w:line="10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7" w:lineRule="exact"/>
        <w:rPr>
          <w:sz w:val="20"/>
          <w:szCs w:val="20"/>
          <w:color w:val="auto"/>
        </w:rPr>
      </w:pPr>
    </w:p>
    <w:p>
      <w:pPr>
        <w:ind w:right="660" w:firstLine="318"/>
        <w:spacing w:after="0" w:line="290" w:lineRule="auto"/>
        <w:rPr>
          <w:sz w:val="20"/>
          <w:szCs w:val="20"/>
          <w:color w:val="auto"/>
        </w:rPr>
      </w:pPr>
      <w:r>
        <w:rPr>
          <w:rFonts w:ascii="Arial" w:cs="Arial" w:eastAsia="Arial" w:hAnsi="Arial"/>
          <w:sz w:val="18"/>
          <w:szCs w:val="18"/>
          <w:color w:val="auto"/>
        </w:rPr>
        <w:t>Our cash consists of amounts held by third party financial institutions. Our investment policy has as its primary objective investment activities which preserve principal without significantly increasing risk.</w:t>
      </w:r>
    </w:p>
    <w:p>
      <w:pPr>
        <w:spacing w:after="0" w:line="109" w:lineRule="exact"/>
        <w:rPr>
          <w:sz w:val="20"/>
          <w:szCs w:val="20"/>
          <w:color w:val="auto"/>
        </w:rPr>
      </w:pPr>
    </w:p>
    <w:p>
      <w:pPr>
        <w:ind w:right="20" w:firstLine="318"/>
        <w:spacing w:after="0" w:line="273" w:lineRule="auto"/>
        <w:rPr>
          <w:sz w:val="20"/>
          <w:szCs w:val="20"/>
          <w:color w:val="auto"/>
        </w:rPr>
      </w:pPr>
      <w:r>
        <w:rPr>
          <w:rFonts w:ascii="Arial" w:cs="Arial" w:eastAsia="Arial" w:hAnsi="Arial"/>
          <w:sz w:val="18"/>
          <w:szCs w:val="18"/>
          <w:color w:val="auto"/>
        </w:rPr>
        <w:t xml:space="preserve">In 2021, we issued a total of $1.15 billion aggregate principal amount of Notes. The proceeds from the issuance of the Notes were approximately $1.0 billion, net of capped call transaction costs of $84.0 million and debt issuance costs totaling $23.6 million. See </w:t>
      </w:r>
      <w:r>
        <w:rPr>
          <w:rFonts w:ascii="Arial" w:cs="Arial" w:eastAsia="Arial" w:hAnsi="Arial"/>
          <w:sz w:val="18"/>
          <w:szCs w:val="18"/>
          <w:u w:val="single" w:color="auto"/>
          <w:color w:val="0000FF"/>
        </w:rPr>
        <w:t>Note 6</w:t>
      </w:r>
      <w:r>
        <w:rPr>
          <w:rFonts w:ascii="Arial" w:cs="Arial" w:eastAsia="Arial" w:hAnsi="Arial"/>
          <w:sz w:val="18"/>
          <w:szCs w:val="18"/>
          <w:color w:val="auto"/>
        </w:rPr>
        <w:t xml:space="preserve">, </w:t>
      </w:r>
      <w:r>
        <w:rPr>
          <w:rFonts w:ascii="Arial" w:cs="Arial" w:eastAsia="Arial" w:hAnsi="Arial"/>
          <w:sz w:val="18"/>
          <w:szCs w:val="18"/>
          <w:i w:val="1"/>
          <w:iCs w:val="1"/>
          <w:color w:val="auto"/>
        </w:rPr>
        <w:t>Debt</w:t>
      </w:r>
      <w:r>
        <w:rPr>
          <w:rFonts w:ascii="Arial" w:cs="Arial" w:eastAsia="Arial" w:hAnsi="Arial"/>
          <w:sz w:val="18"/>
          <w:szCs w:val="18"/>
          <w:color w:val="auto"/>
        </w:rPr>
        <w:t>, to the Notes to Unaudited Condensed Consolidated Financial Statements included elsewhere in this report. The Notes do not bear regular interest, and the principal amount of the Notes do not accrete. However, special interest and additional interest may accrue on the Notes at a rate per annum not exceeding 0.50% (subject to certain exceptions) upon the occurrence of certain events relating to the failure to file certain SEC reports or to remove certain restrictive legends from the Notes.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Ingredient Risk</w:t>
      </w:r>
    </w:p>
    <w:p>
      <w:pPr>
        <w:spacing w:after="0" w:line="177" w:lineRule="exact"/>
        <w:rPr>
          <w:sz w:val="20"/>
          <w:szCs w:val="20"/>
          <w:color w:val="auto"/>
        </w:rPr>
      </w:pPr>
    </w:p>
    <w:p>
      <w:pPr>
        <w:ind w:firstLine="318"/>
        <w:spacing w:after="0" w:line="286" w:lineRule="auto"/>
        <w:rPr>
          <w:sz w:val="20"/>
          <w:szCs w:val="20"/>
          <w:color w:val="auto"/>
        </w:rPr>
      </w:pPr>
      <w:r>
        <w:rPr>
          <w:rFonts w:ascii="Arial" w:cs="Arial" w:eastAsia="Arial" w:hAnsi="Arial"/>
          <w:sz w:val="17"/>
          <w:szCs w:val="17"/>
          <w:color w:val="auto"/>
        </w:rPr>
        <w:t xml:space="preserve">We are exposed to risk related to the price and availability of our ingredients because our profitability is dependent on, among other things, our ability to anticipate and react to raw material and food costs. Currently, the main ingredient in our products is pea protein, which is sourced from peas grown in Canada, France and the United States, with substantially all sourced from Canada. The prices of pea protein and other ingredients we use, such as avocado oil, are subject to many factors beyond our control, such as the number and size of farms that grow yellow peas, the vagaries of the farming businesses, including poor harvests due to adverse weather conditions, natural disasters and pestilence, and changes in national and world economic conditions. The markets for some of the ingredients we use, such as avocado oil, may be particularly volatile due to factors such as limited supply sources, crop yield, seasonal shifts, climate conditions, industry demand, including as a result of food safety concerns, product recalls and government regulations. For additional information, see </w:t>
      </w:r>
      <w:r>
        <w:rPr>
          <w:rFonts w:ascii="Arial" w:cs="Arial" w:eastAsia="Arial" w:hAnsi="Arial"/>
          <w:sz w:val="17"/>
          <w:szCs w:val="17"/>
          <w:i w:val="1"/>
          <w:iCs w:val="1"/>
          <w:color w:val="auto"/>
        </w:rPr>
        <w:t>Risks Related to Our Business—Because we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rely on a limited number of third party suppliers, we may not be able to obtain raw materials on a timely basis or in sufficient quantities at competitive prices to produce our products or meet the demand for our products </w:t>
      </w:r>
      <w:r>
        <w:rPr>
          <w:rFonts w:ascii="Arial" w:cs="Arial" w:eastAsia="Arial" w:hAnsi="Arial"/>
          <w:sz w:val="17"/>
          <w:szCs w:val="17"/>
          <w:color w:val="auto"/>
        </w:rPr>
        <w:t>in Part I, Item 1A,</w:t>
      </w:r>
      <w:r>
        <w:rPr>
          <w:rFonts w:ascii="Arial" w:cs="Arial" w:eastAsia="Arial" w:hAnsi="Arial"/>
          <w:sz w:val="17"/>
          <w:szCs w:val="17"/>
          <w:i w:val="1"/>
          <w:iCs w:val="1"/>
          <w:color w:val="auto"/>
        </w:rPr>
        <w:t xml:space="preserve"> Risk Factors, </w:t>
      </w:r>
      <w:r>
        <w:rPr>
          <w:rFonts w:ascii="Arial" w:cs="Arial" w:eastAsia="Arial" w:hAnsi="Arial"/>
          <w:sz w:val="17"/>
          <w:szCs w:val="17"/>
          <w:color w:val="auto"/>
        </w:rPr>
        <w:t>in our 2024 10-K.</w:t>
      </w:r>
    </w:p>
    <w:p>
      <w:pPr>
        <w:spacing w:after="0" w:line="135" w:lineRule="exact"/>
        <w:rPr>
          <w:sz w:val="20"/>
          <w:szCs w:val="20"/>
          <w:color w:val="auto"/>
        </w:rPr>
      </w:pPr>
    </w:p>
    <w:p>
      <w:pPr>
        <w:ind w:firstLine="318"/>
        <w:spacing w:after="0" w:line="289" w:lineRule="auto"/>
        <w:rPr>
          <w:sz w:val="20"/>
          <w:szCs w:val="20"/>
          <w:color w:val="auto"/>
        </w:rPr>
      </w:pPr>
      <w:r>
        <w:rPr>
          <w:rFonts w:ascii="Arial" w:cs="Arial" w:eastAsia="Arial" w:hAnsi="Arial"/>
          <w:sz w:val="17"/>
          <w:szCs w:val="17"/>
          <w:color w:val="auto"/>
        </w:rPr>
        <w:t xml:space="preserve">In addition, we purchase some ingredients and other materials offshore, and the price and availability of such ingredients and materials may be affected by political events or other conditions in these countries or tariffs or trade wars. For example, the United States has recently signaled its intention to change U.S. trade policy, including potentially renegotiating or terminating existing trade agreements and leveraging tariffs. The imposition of new or increased tariffs could materially and adversely affect the accessibility or affordability of our ingredients and, in turn, our business, financial condition and results of operations. For additional information, see Part 1, </w:t>
      </w:r>
      <w:r>
        <w:rPr>
          <w:rFonts w:ascii="Arial" w:cs="Arial" w:eastAsia="Arial" w:hAnsi="Arial"/>
          <w:sz w:val="17"/>
          <w:szCs w:val="17"/>
          <w:u w:val="single" w:color="auto"/>
          <w:color w:val="0000FF"/>
        </w:rPr>
        <w:t>Item 1A.</w:t>
      </w:r>
      <w:r>
        <w:rPr>
          <w:rFonts w:ascii="Arial" w:cs="Arial" w:eastAsia="Arial" w:hAnsi="Arial"/>
          <w:sz w:val="17"/>
          <w:szCs w:val="17"/>
          <w:color w:val="auto"/>
        </w:rPr>
        <w:t xml:space="preserve"> </w:t>
      </w:r>
      <w:r>
        <w:rPr>
          <w:rFonts w:ascii="Arial" w:cs="Arial" w:eastAsia="Arial" w:hAnsi="Arial"/>
          <w:sz w:val="17"/>
          <w:szCs w:val="17"/>
          <w:i w:val="1"/>
          <w:iCs w:val="1"/>
          <w:color w:val="auto"/>
        </w:rPr>
        <w:t>Risk Factors</w:t>
      </w:r>
      <w:r>
        <w:rPr>
          <w:rFonts w:ascii="Arial" w:cs="Arial" w:eastAsia="Arial" w:hAnsi="Arial"/>
          <w:sz w:val="17"/>
          <w:szCs w:val="17"/>
          <w:color w:val="auto"/>
        </w:rPr>
        <w:t>—</w:t>
      </w:r>
      <w:r>
        <w:rPr>
          <w:rFonts w:ascii="Arial" w:cs="Arial" w:eastAsia="Arial" w:hAnsi="Arial"/>
          <w:sz w:val="17"/>
          <w:szCs w:val="17"/>
          <w:i w:val="1"/>
          <w:iCs w:val="1"/>
          <w:color w:val="auto"/>
        </w:rPr>
        <w:t>Risks Related to</w:t>
      </w:r>
      <w:r>
        <w:rPr>
          <w:rFonts w:ascii="Arial" w:cs="Arial" w:eastAsia="Arial" w:hAnsi="Arial"/>
          <w:sz w:val="17"/>
          <w:szCs w:val="17"/>
          <w:color w:val="auto"/>
        </w:rPr>
        <w:t xml:space="preserve"> </w:t>
      </w:r>
      <w:r>
        <w:rPr>
          <w:rFonts w:ascii="Arial" w:cs="Arial" w:eastAsia="Arial" w:hAnsi="Arial"/>
          <w:sz w:val="17"/>
          <w:szCs w:val="17"/>
          <w:i w:val="1"/>
          <w:iCs w:val="1"/>
          <w:color w:val="auto"/>
        </w:rPr>
        <w:t>Our Business—Disruptions in the worldwide economy, including an economic recession, downturn, periods of rising or high inflation or economic uncertainty, have adversely affected and may continue to adversely affect our business, results of operations and financial condition.</w:t>
      </w:r>
    </w:p>
    <w:p>
      <w:pPr>
        <w:spacing w:after="0" w:line="115" w:lineRule="exact"/>
        <w:rPr>
          <w:sz w:val="20"/>
          <w:szCs w:val="20"/>
          <w:color w:val="auto"/>
        </w:rPr>
      </w:pPr>
    </w:p>
    <w:p>
      <w:pPr>
        <w:ind w:right="80" w:firstLine="318"/>
        <w:spacing w:after="0" w:line="273" w:lineRule="auto"/>
        <w:rPr>
          <w:sz w:val="20"/>
          <w:szCs w:val="20"/>
          <w:color w:val="auto"/>
        </w:rPr>
      </w:pPr>
      <w:r>
        <w:rPr>
          <w:rFonts w:ascii="Arial" w:cs="Arial" w:eastAsia="Arial" w:hAnsi="Arial"/>
          <w:sz w:val="18"/>
          <w:szCs w:val="18"/>
          <w:color w:val="auto"/>
        </w:rPr>
        <w:t xml:space="preserve">In the three months ended March 29, 2025, a hypothetical 10% increase or 10% decrease in the weighted-average cost of pea protein, our primary ingredient, would have resulted in an increase of approximately $0.7 million, or a decrease of approximately $0.7 million, respectively, to cost of goods sold. We are working to diversify our sources of supply and intend to enter into long-term contracts to better ensure stability of prices of our raw materials. As of March 29, 2025, we had a multi-year sales agreement with Roquette which expires in December 2025. See </w:t>
      </w:r>
      <w:r>
        <w:rPr>
          <w:rFonts w:ascii="Arial" w:cs="Arial" w:eastAsia="Arial" w:hAnsi="Arial"/>
          <w:sz w:val="18"/>
          <w:szCs w:val="18"/>
          <w:u w:val="single" w:color="auto"/>
          <w:color w:val="0000FF"/>
        </w:rPr>
        <w:t>Note 9</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i w:val="1"/>
          <w:iCs w:val="1"/>
          <w:color w:val="000000"/>
        </w:rPr>
        <w:t>Commitments and Contingencies</w:t>
      </w:r>
      <w:r>
        <w:rPr>
          <w:rFonts w:ascii="Arial" w:cs="Arial" w:eastAsia="Arial" w:hAnsi="Arial"/>
          <w:sz w:val="18"/>
          <w:szCs w:val="18"/>
          <w:color w:val="000000"/>
        </w:rPr>
        <w:t>, to the Notes to Unaudited Condensed Consolidated Financial Statements included elsewhere in this</w:t>
      </w:r>
      <w:r>
        <w:rPr>
          <w:rFonts w:ascii="Arial" w:cs="Arial" w:eastAsia="Arial" w:hAnsi="Arial"/>
          <w:sz w:val="18"/>
          <w:szCs w:val="18"/>
          <w:color w:val="0000FF"/>
        </w:rPr>
        <w:t xml:space="preserve"> </w:t>
      </w:r>
      <w:r>
        <w:rPr>
          <w:rFonts w:ascii="Arial" w:cs="Arial" w:eastAsia="Arial" w:hAnsi="Arial"/>
          <w:sz w:val="18"/>
          <w:szCs w:val="18"/>
          <w:color w:val="000000"/>
        </w:rPr>
        <w:t>report.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1" w:name="page72"/>
    <w:bookmarkEnd w:id="71"/>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77" w:lineRule="exact"/>
        <w:rPr>
          <w:sz w:val="20"/>
          <w:szCs w:val="20"/>
          <w:color w:val="auto"/>
        </w:rPr>
      </w:pPr>
    </w:p>
    <w:p>
      <w:pPr>
        <w:ind w:firstLine="318"/>
        <w:spacing w:after="0" w:line="270" w:lineRule="auto"/>
        <w:rPr>
          <w:sz w:val="20"/>
          <w:szCs w:val="20"/>
          <w:color w:val="auto"/>
        </w:rPr>
      </w:pPr>
      <w:r>
        <w:rPr>
          <w:rFonts w:ascii="Arial" w:cs="Arial" w:eastAsia="Arial" w:hAnsi="Arial"/>
          <w:sz w:val="18"/>
          <w:szCs w:val="18"/>
          <w:color w:val="auto"/>
        </w:rPr>
        <w:t>We are exposed to foreign currency risks that arise from normal business operations. These risks include the translation of local currency balances of foreign subsidiaries, transaction gains and losses associated with intercompany loans with foreign subsidiaries and transactions denominated in currencies other than a location's functional currency. Our foreign entities use their local currency as the functional currency. For these entities, we translate net assets into U.S. dollars at period end exchange rates, while revenue and expense accounts are translated at average exchange rates prevailing during the periods being reported. Resulting foreign currency translation adjustments are included in Accumulated other comprehensive income and foreign currency transaction gains and losses are included in Other, net. Foreign currency transaction gains and losses on long-term intra-entity transactions are recorded as a component of Other comprehensive loss. Foreign currency transactions denominated in a currency other than the reporting entity’s functional currency may give rise to transaction gains and losses that impact our results of operations.</w:t>
      </w:r>
    </w:p>
    <w:p>
      <w:pPr>
        <w:spacing w:after="0" w:line="130" w:lineRule="exact"/>
        <w:rPr>
          <w:sz w:val="20"/>
          <w:szCs w:val="20"/>
          <w:color w:val="auto"/>
        </w:rPr>
      </w:pPr>
    </w:p>
    <w:p>
      <w:pPr>
        <w:ind w:right="200" w:firstLine="318"/>
        <w:spacing w:after="0" w:line="290" w:lineRule="auto"/>
        <w:rPr>
          <w:sz w:val="20"/>
          <w:szCs w:val="20"/>
          <w:color w:val="auto"/>
        </w:rPr>
      </w:pPr>
      <w:r>
        <w:rPr>
          <w:rFonts w:ascii="Arial" w:cs="Arial" w:eastAsia="Arial" w:hAnsi="Arial"/>
          <w:sz w:val="18"/>
          <w:szCs w:val="18"/>
          <w:color w:val="auto"/>
        </w:rPr>
        <w:t>Our foreign currency exchange risk is primarily related to our intercompany balances denominated in various foreign currencies. We have exposure to the European Euro and the Chinese Yuan.</w:t>
      </w:r>
    </w:p>
    <w:p>
      <w:pPr>
        <w:spacing w:after="0" w:line="123" w:lineRule="exact"/>
        <w:rPr>
          <w:sz w:val="20"/>
          <w:szCs w:val="20"/>
          <w:color w:val="auto"/>
        </w:rPr>
      </w:pPr>
    </w:p>
    <w:p>
      <w:pPr>
        <w:ind w:right="80" w:firstLine="318"/>
        <w:spacing w:after="0" w:line="275" w:lineRule="auto"/>
        <w:rPr>
          <w:sz w:val="20"/>
          <w:szCs w:val="20"/>
          <w:color w:val="auto"/>
        </w:rPr>
      </w:pPr>
      <w:r>
        <w:rPr>
          <w:rFonts w:ascii="Arial" w:cs="Arial" w:eastAsia="Arial" w:hAnsi="Arial"/>
          <w:sz w:val="18"/>
          <w:szCs w:val="18"/>
          <w:color w:val="auto"/>
        </w:rPr>
        <w:t>Foreign currency translation (loss) gain, net of tax, reported as cumulative translation adjustment through Other comprehensive loss was $(1.0) million and $0.7 million in the three months ended March 29, 2025 and March 30, 2024, respectively. Net realized and unrealized foreign currency transaction gains (losses) included in Other, net was $3.5 million and $(2.3) million in the three months ended March 29, 2025 and March 30, 2024, respectively.</w:t>
      </w:r>
    </w:p>
    <w:p>
      <w:pPr>
        <w:spacing w:after="0" w:line="125" w:lineRule="exact"/>
        <w:rPr>
          <w:sz w:val="20"/>
          <w:szCs w:val="20"/>
          <w:color w:val="auto"/>
        </w:rPr>
      </w:pPr>
    </w:p>
    <w:p>
      <w:pPr>
        <w:jc w:val="both"/>
        <w:ind w:right="260" w:firstLine="318"/>
        <w:spacing w:after="0" w:line="283" w:lineRule="auto"/>
        <w:rPr>
          <w:sz w:val="20"/>
          <w:szCs w:val="20"/>
          <w:color w:val="auto"/>
        </w:rPr>
      </w:pPr>
      <w:r>
        <w:rPr>
          <w:rFonts w:ascii="Arial" w:cs="Arial" w:eastAsia="Arial" w:hAnsi="Arial"/>
          <w:sz w:val="18"/>
          <w:szCs w:val="18"/>
          <w:color w:val="auto"/>
        </w:rPr>
        <w:t>Based on the intercompany balances as of March 29, 2025, an assumed 5% or 10% adverse change to foreign currency exchange rates would result in a loss of approximately $5.8 million or $11.7 million, respectively, recorded in Other, net in the three months ended March 29, 2025.</w:t>
      </w:r>
    </w:p>
    <w:p>
      <w:pPr>
        <w:spacing w:after="0" w:line="10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Inflation Risk</w:t>
      </w:r>
    </w:p>
    <w:p>
      <w:pPr>
        <w:spacing w:after="0" w:line="177"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 xml:space="preserve">Although we have seen inflation in certain raw materials, and in the cost of logistics and labor, we do not believe that inflation has had a material effect on the costs of our inputs to date. Although difficult to quantify, we believe inflation is likely having an adverse effect on our end customers’ ability to purchase our products, resulting in decreased sales. If our costs were to become subject to significant inflationary pressures, we may not be able to fully offset such higher costs through price increases. Our inability or failure to do so could harm our business, results of operations and financial condition. For additional information, see </w:t>
      </w:r>
      <w:r>
        <w:rPr>
          <w:rFonts w:ascii="Arial" w:cs="Arial" w:eastAsia="Arial" w:hAnsi="Arial"/>
          <w:sz w:val="18"/>
          <w:szCs w:val="18"/>
          <w:i w:val="1"/>
          <w:iCs w:val="1"/>
          <w:color w:val="auto"/>
        </w:rPr>
        <w:t>Risk Factors—Risks Related to Our Business—Inflationary price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pressures of raw materials, labor, transportation, fuel or other inputs used by us and our suppliers, including the effects of higher interest rates, has negatively impacted, and could continue to negatively impact our business and results of operations </w:t>
      </w:r>
      <w:r>
        <w:rPr>
          <w:rFonts w:ascii="Arial" w:cs="Arial" w:eastAsia="Arial" w:hAnsi="Arial"/>
          <w:sz w:val="18"/>
          <w:szCs w:val="18"/>
          <w:color w:val="auto"/>
        </w:rPr>
        <w:t>in Part I, Item 1A</w:t>
      </w:r>
      <w:r>
        <w:rPr>
          <w:rFonts w:ascii="Arial" w:cs="Arial" w:eastAsia="Arial" w:hAnsi="Arial"/>
          <w:sz w:val="18"/>
          <w:szCs w:val="18"/>
          <w:i w:val="1"/>
          <w:iCs w:val="1"/>
          <w:color w:val="auto"/>
        </w:rPr>
        <w:t>, Risk Factors</w:t>
      </w:r>
      <w:r>
        <w:rPr>
          <w:rFonts w:ascii="Arial" w:cs="Arial" w:eastAsia="Arial" w:hAnsi="Arial"/>
          <w:sz w:val="18"/>
          <w:szCs w:val="18"/>
          <w:color w:val="auto"/>
        </w:rPr>
        <w:t>, in our</w:t>
      </w:r>
      <w:r>
        <w:rPr>
          <w:rFonts w:ascii="Arial" w:cs="Arial" w:eastAsia="Arial" w:hAnsi="Arial"/>
          <w:sz w:val="18"/>
          <w:szCs w:val="18"/>
          <w:i w:val="1"/>
          <w:iCs w:val="1"/>
          <w:color w:val="auto"/>
        </w:rPr>
        <w:t xml:space="preserve"> </w:t>
      </w:r>
      <w:r>
        <w:rPr>
          <w:rFonts w:ascii="Arial" w:cs="Arial" w:eastAsia="Arial" w:hAnsi="Arial"/>
          <w:sz w:val="18"/>
          <w:szCs w:val="18"/>
          <w:color w:val="auto"/>
        </w:rPr>
        <w:t>2024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7" w:lineRule="exact"/>
        <w:rPr>
          <w:sz w:val="20"/>
          <w:szCs w:val="20"/>
          <w:color w:val="auto"/>
        </w:rPr>
      </w:pPr>
    </w:p>
    <w:p>
      <w:pPr>
        <w:ind w:firstLine="318"/>
        <w:spacing w:after="0" w:line="269" w:lineRule="auto"/>
        <w:rPr>
          <w:sz w:val="20"/>
          <w:szCs w:val="20"/>
          <w:color w:val="auto"/>
        </w:rPr>
      </w:pPr>
      <w:r>
        <w:rPr>
          <w:rFonts w:ascii="Arial" w:cs="Arial" w:eastAsia="Arial" w:hAnsi="Arial"/>
          <w:sz w:val="18"/>
          <w:szCs w:val="18"/>
          <w:color w:val="auto"/>
        </w:rPr>
        <w:t>Our management, with the participation of our principal executive officer and our principal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that evaluation, our principal executive officer and principal financial officer have concluded that, as of the end of the period covered by this Quarterly Report on Form 10-Q, our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principal financial officer, as appropriate, to allow timely decisions regarding required disclosure.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7" w:lineRule="exact"/>
        <w:rPr>
          <w:sz w:val="20"/>
          <w:szCs w:val="20"/>
          <w:color w:val="auto"/>
        </w:rPr>
      </w:pPr>
    </w:p>
    <w:p>
      <w:pPr>
        <w:ind w:right="680" w:firstLine="318"/>
        <w:spacing w:after="0" w:line="290" w:lineRule="auto"/>
        <w:rPr>
          <w:sz w:val="20"/>
          <w:szCs w:val="20"/>
          <w:color w:val="auto"/>
        </w:rPr>
      </w:pPr>
      <w:r>
        <w:rPr>
          <w:rFonts w:ascii="Arial" w:cs="Arial" w:eastAsia="Arial" w:hAnsi="Arial"/>
          <w:sz w:val="18"/>
          <w:szCs w:val="18"/>
          <w:color w:val="auto"/>
        </w:rPr>
        <w:t>There were no changes in our internal control over financial reporting during the quarter ended March 29, 2025 that have materially affected, or are reasonably likely to materially affect, our internal control over financial reporting.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177" w:lineRule="exact"/>
        <w:rPr>
          <w:sz w:val="20"/>
          <w:szCs w:val="20"/>
          <w:color w:val="auto"/>
        </w:rPr>
      </w:pPr>
    </w:p>
    <w:p>
      <w:pPr>
        <w:ind w:firstLine="318"/>
        <w:spacing w:after="0" w:line="295" w:lineRule="auto"/>
        <w:rPr>
          <w:sz w:val="20"/>
          <w:szCs w:val="20"/>
          <w:color w:val="auto"/>
        </w:rPr>
      </w:pPr>
      <w:r>
        <w:rPr>
          <w:rFonts w:ascii="Arial" w:cs="Arial" w:eastAsia="Arial" w:hAnsi="Arial"/>
          <w:sz w:val="17"/>
          <w:szCs w:val="17"/>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9" w:lineRule="exact"/>
        <w:rPr>
          <w:sz w:val="20"/>
          <w:szCs w:val="20"/>
          <w:color w:val="auto"/>
        </w:rPr>
      </w:pPr>
    </w:p>
    <w:p>
      <w:pPr>
        <w:ind w:right="120" w:firstLine="318"/>
        <w:spacing w:after="0" w:line="269" w:lineRule="auto"/>
        <w:rPr>
          <w:sz w:val="20"/>
          <w:szCs w:val="20"/>
          <w:color w:val="auto"/>
        </w:rPr>
      </w:pPr>
      <w:r>
        <w:rPr>
          <w:rFonts w:ascii="Arial" w:cs="Arial" w:eastAsia="Arial" w:hAnsi="Arial"/>
          <w:sz w:val="18"/>
          <w:szCs w:val="18"/>
          <w:color w:val="auto"/>
        </w:rPr>
        <w:t xml:space="preserve">We are subject to various legal proceedings and claims that arise in the ordinary course of our business. The Company establishes an accrued liability for legal matters when those matters present loss contingencies that are both probable and estimable. For a description of our material pending legal proceedings, please see </w:t>
      </w:r>
      <w:r>
        <w:rPr>
          <w:rFonts w:ascii="Arial" w:cs="Arial" w:eastAsia="Arial" w:hAnsi="Arial"/>
          <w:sz w:val="18"/>
          <w:szCs w:val="18"/>
          <w:u w:val="single" w:color="auto"/>
          <w:color w:val="0000FF"/>
        </w:rPr>
        <w:t>Note 9</w:t>
      </w:r>
      <w:r>
        <w:rPr>
          <w:rFonts w:ascii="Arial" w:cs="Arial" w:eastAsia="Arial" w:hAnsi="Arial"/>
          <w:sz w:val="18"/>
          <w:szCs w:val="18"/>
          <w:color w:val="auto"/>
        </w:rPr>
        <w:t xml:space="preserv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Notes to Unaudited Condensed Consolidated Financial Statements included elsewhere in this report. Although the outcome of these and other claims cannot be predicted with certainty, other than the settlement of certain actions, management is not currently able to estimate the reasonable possible amount of loss or range of loss and does not believe that it is probable that the ultimate resolution of the current matters will have a material adverse effect on our business, financial condition, results of operations or cash flows. However, the final results of any current or future proceeding cannot be predicted with certainty, and until there is final resolution on any such matter that we may be required to accrue for, we may be exposed to loss in excess of the amount accrued. Regardless of the outcome, litigation can have an adverse impact on us because of defense and settlement costs, diversion of management resources and other factors.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9" w:lineRule="exact"/>
        <w:rPr>
          <w:sz w:val="20"/>
          <w:szCs w:val="20"/>
          <w:color w:val="auto"/>
        </w:rPr>
      </w:pPr>
    </w:p>
    <w:p>
      <w:pPr>
        <w:ind w:firstLine="318"/>
        <w:spacing w:after="0" w:line="275"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2024 10-K, as updated and supplemented below and in our subsequent filings. These risks could materially harm our business, operating results and financial condition. Additional factors and uncertainties not currently known to us or that we currently consider immaterial also may materially adversely affect our business, financial condition or future results.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66" w:lineRule="exact"/>
        <w:rPr>
          <w:sz w:val="20"/>
          <w:szCs w:val="20"/>
          <w:color w:val="auto"/>
        </w:rPr>
      </w:pPr>
    </w:p>
    <w:p>
      <w:pPr>
        <w:ind w:right="280"/>
        <w:spacing w:after="0" w:line="266" w:lineRule="auto"/>
        <w:rPr>
          <w:sz w:val="20"/>
          <w:szCs w:val="20"/>
          <w:color w:val="auto"/>
        </w:rPr>
      </w:pPr>
      <w:r>
        <w:rPr>
          <w:rFonts w:ascii="Arial" w:cs="Arial" w:eastAsia="Arial" w:hAnsi="Arial"/>
          <w:sz w:val="18"/>
          <w:szCs w:val="18"/>
          <w:b w:val="1"/>
          <w:bCs w:val="1"/>
          <w:i w:val="1"/>
          <w:iCs w:val="1"/>
          <w:color w:val="auto"/>
        </w:rPr>
        <w:t>Disruptions in the worldwide economy, including an economic recession, downturn, changes to trade policies, periods of rising or high inflation or economic uncertainty and volatility, have adversely affected and may continue to adversely affect our business, results of operations and financial condition.</w:t>
      </w:r>
    </w:p>
    <w:p>
      <w:pPr>
        <w:spacing w:after="0" w:line="107" w:lineRule="exact"/>
        <w:rPr>
          <w:sz w:val="20"/>
          <w:szCs w:val="20"/>
          <w:color w:val="auto"/>
        </w:rPr>
      </w:pPr>
    </w:p>
    <w:p>
      <w:pPr>
        <w:ind w:firstLine="318"/>
        <w:spacing w:after="0" w:line="257" w:lineRule="auto"/>
        <w:rPr>
          <w:sz w:val="20"/>
          <w:szCs w:val="20"/>
          <w:color w:val="auto"/>
        </w:rPr>
      </w:pPr>
      <w:r>
        <w:rPr>
          <w:rFonts w:ascii="Arial" w:cs="Arial" w:eastAsia="Arial" w:hAnsi="Arial"/>
          <w:sz w:val="18"/>
          <w:szCs w:val="18"/>
          <w:color w:val="auto"/>
        </w:rPr>
        <w:t>The global economy can be negatively impacted by a variety of factors such as the spread or fear of spread of contagious diseases (such as the COVID-19 pandemic, other pandemics, epidemics or other public health crises) in locations where our products are sold, man-made or natural disasters, severe weather, actual or threatened hostilities or war, terrorist activity, political unrest or uncertainties (including those resulting from the recent U.S. presidential and congressional elections), civil strife and other geopolitical uncertainty. Such adverse and uncertain economic conditions may impact distributor, retailer, foodservice and consumer demand for our products. For example, in connection with the war in Ukraine, governments in the U.S., U.K. and the EU have each imposed export controls on certain products and financial and economic sanctions on certain industry sectors and parties in Russia. In addition, the intensity, duration and economic effects of the conflict in Israel, Gaza and surrounding areas are difficult to predict. The uncertainty resulting from the military conflicts in Europe and the Middle East have given rise and may continue to give rise to increases in costs of goods and services, scarcity of certain ingredients, increased trade barriers or restrictions on global trade and may increase volatility in financial and capital markets, which may make it more difficult for us to raise additional capital. Further escalation of geopolitical tensions could have a broader impact that expands into other markets where we do business, which could adversely affect our business and/or our supply chain, our international subsidiaries, business partners or customers in the broader region, including potential destabilizing effects that such conflicts may pose for the European continent, the Middle East or the global oil and natural gas markets. In addition, our ability to manage normal commercial relationships with our suppliers, co-manufacturers, distributors, retailers, foodservice customers, consumers and creditors may suffer.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27" w:lineRule="exact"/>
        <w:rPr>
          <w:sz w:val="20"/>
          <w:szCs w:val="20"/>
          <w:color w:val="auto"/>
        </w:rPr>
      </w:pPr>
    </w:p>
    <w:p>
      <w:pPr>
        <w:ind w:right="80" w:firstLine="318"/>
        <w:spacing w:after="0" w:line="283" w:lineRule="auto"/>
        <w:rPr>
          <w:sz w:val="20"/>
          <w:szCs w:val="20"/>
          <w:color w:val="auto"/>
        </w:rPr>
      </w:pPr>
      <w:r>
        <w:rPr>
          <w:rFonts w:ascii="Arial" w:cs="Arial" w:eastAsia="Arial" w:hAnsi="Arial"/>
          <w:sz w:val="18"/>
          <w:szCs w:val="18"/>
          <w:color w:val="auto"/>
        </w:rPr>
        <w:t>Political environments, for example the recent change in administration in the U.S., may create uncertainty with respect to, and could result in additional changes in, legislation, regulation, international relations and government policy, or could result in possible civil unrest or other disturbances.</w:t>
      </w:r>
    </w:p>
    <w:p>
      <w:pPr>
        <w:spacing w:after="0" w:line="116" w:lineRule="exact"/>
        <w:rPr>
          <w:sz w:val="20"/>
          <w:szCs w:val="20"/>
          <w:color w:val="auto"/>
        </w:rPr>
      </w:pPr>
    </w:p>
    <w:p>
      <w:pPr>
        <w:ind w:firstLine="318"/>
        <w:spacing w:after="0" w:line="289" w:lineRule="auto"/>
        <w:rPr>
          <w:sz w:val="20"/>
          <w:szCs w:val="20"/>
          <w:color w:val="auto"/>
        </w:rPr>
      </w:pPr>
      <w:r>
        <w:rPr>
          <w:rFonts w:ascii="Arial" w:cs="Arial" w:eastAsia="Arial" w:hAnsi="Arial"/>
          <w:sz w:val="17"/>
          <w:szCs w:val="17"/>
          <w:color w:val="auto"/>
        </w:rPr>
        <w:t>For example, the current U.S. presidential administration announced the implementation of significant new tariffs on foreign imported goods, certain of which recently went into effect. In response to the U.S. tariffs, various jurisdictions, including China, Canada and the EU, have announced plans for their own tariffs on American products. If such increased or additional tariffs or other restrictions, quotas, embargoes, or safeguards are placed on goods imported into the United States, or any related counter-measures are taken by other countries, we may have to raise our prices or increase inventory levels, or find new sources of supply for products that we import. There is no assurance that we would be able to pass on any cost increases, in full or at all, to our customers, and/or we could lose customers in countries such as Canada due to anti-American sentiment, any of which could materially affect our revenue, gross margin and results of operations.</w:t>
      </w:r>
    </w:p>
    <w:p>
      <w:pPr>
        <w:spacing w:after="0" w:line="115" w:lineRule="exact"/>
        <w:rPr>
          <w:sz w:val="20"/>
          <w:szCs w:val="20"/>
          <w:color w:val="auto"/>
        </w:rPr>
      </w:pPr>
    </w:p>
    <w:p>
      <w:pPr>
        <w:ind w:firstLine="318"/>
        <w:spacing w:after="0" w:line="284" w:lineRule="auto"/>
        <w:rPr>
          <w:sz w:val="20"/>
          <w:szCs w:val="20"/>
          <w:color w:val="auto"/>
        </w:rPr>
      </w:pPr>
      <w:r>
        <w:rPr>
          <w:rFonts w:ascii="Arial" w:cs="Arial" w:eastAsia="Arial" w:hAnsi="Arial"/>
          <w:sz w:val="17"/>
          <w:szCs w:val="17"/>
          <w:color w:val="auto"/>
        </w:rPr>
        <w:t>Any trade wars, through the implementation of tariffs or otherwise, or a government’s adoption of “buy national” policies or retaliation by another government against such tariffs or policies may adversely affect our business, including by impacting (a) our supply chain for our operations as well as third parties with whom we do business, (b) negatively affecting the prices of and demand for the Company’s products and</w:t>
      </w:r>
    </w:p>
    <w:p>
      <w:pPr>
        <w:spacing w:after="0" w:line="2" w:lineRule="exact"/>
        <w:rPr>
          <w:sz w:val="20"/>
          <w:szCs w:val="20"/>
          <w:color w:val="auto"/>
        </w:rPr>
      </w:pPr>
    </w:p>
    <w:p>
      <w:pPr>
        <w:ind w:right="60" w:firstLine="6"/>
        <w:spacing w:after="0" w:line="302" w:lineRule="auto"/>
        <w:tabs>
          <w:tab w:leader="none" w:pos="25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macroeconomic markets at large. For example, we source substantially all of our pea protein and manufacture some of our products in Canada and such ingredients and products may be subject to tariffs upon import into the U.S., which may negatively impact prices and demand for our products. In addition, prices and demand for our products manufactured in the U.S. may also be negatively affected by trade wars.</w:t>
      </w:r>
    </w:p>
    <w:p>
      <w:pPr>
        <w:spacing w:after="0" w:line="103" w:lineRule="exact"/>
        <w:rPr>
          <w:sz w:val="20"/>
          <w:szCs w:val="20"/>
          <w:color w:val="auto"/>
        </w:rPr>
      </w:pPr>
    </w:p>
    <w:p>
      <w:pPr>
        <w:ind w:firstLine="318"/>
        <w:spacing w:after="0" w:line="271" w:lineRule="auto"/>
        <w:rPr>
          <w:sz w:val="20"/>
          <w:szCs w:val="20"/>
          <w:color w:val="auto"/>
        </w:rPr>
      </w:pPr>
      <w:r>
        <w:rPr>
          <w:rFonts w:ascii="Arial" w:cs="Arial" w:eastAsia="Arial" w:hAnsi="Arial"/>
          <w:sz w:val="18"/>
          <w:szCs w:val="18"/>
          <w:color w:val="auto"/>
        </w:rPr>
        <w:t>We cannot predict future trade policy and regulations in the United States and other countries, the terms of any renegotiated trade agreements or treaties, or tariffs and their impact on our business. A trade war could have a significant adverse effect on world trade and the world economy. To the extent that trade tariffs and other restrictions imposed by the United States or other countries increase the price of, or limit the amount of, our products or raw materials used in our products imported into the United States or other countries, or create adverse tax consequences, the sales, cost or gross margin of our products may be adversely affected and the demand from our customers for products may be diminished. Uncertainty surrounding international trade policy and regulations as well as disputes and protectionist measures could also have an adverse effect on consumer confidence and spending and negatively affect demand for our products.</w:t>
      </w:r>
    </w:p>
    <w:p>
      <w:pPr>
        <w:spacing w:after="0" w:line="126" w:lineRule="exact"/>
        <w:rPr>
          <w:sz w:val="20"/>
          <w:szCs w:val="20"/>
          <w:color w:val="auto"/>
        </w:rPr>
      </w:pPr>
    </w:p>
    <w:p>
      <w:pPr>
        <w:ind w:right="20" w:firstLine="318"/>
        <w:spacing w:after="0" w:line="257" w:lineRule="auto"/>
        <w:rPr>
          <w:sz w:val="20"/>
          <w:szCs w:val="20"/>
          <w:color w:val="auto"/>
        </w:rPr>
      </w:pPr>
      <w:r>
        <w:rPr>
          <w:rFonts w:ascii="Arial" w:cs="Arial" w:eastAsia="Arial" w:hAnsi="Arial"/>
          <w:sz w:val="18"/>
          <w:szCs w:val="18"/>
          <w:color w:val="auto"/>
        </w:rPr>
        <w:t>As global economic conditions continue to be volatile or uncertain and potential recessionary or inflationary pressures exist, trends in consumer discretionary spending also remain unpredictable and subject to changes. We have seen consumers shift purchases to lower-priced or other perceived value offerings during economic downturns as a result of various factors, including job losses, inflation, higher taxes, reduced access to credit, change in federal economic policy and recent international trade disputes. In particular, consumers have reduced the amount of plant-based food products that they purchase where there are conventional animal-based protein offerings, which generally have lower retail prices. In addition, consumers may choose to purchase private label products rather than branded products because they are generally less expensive. A decrease in consumer discretionary spending may also result in consumers reducing the frequency and amount spent on food prepared away from home. Distributors, retailers and foodservice customers have become more conservative in response to these conditions and have sought to reduce their inventories. Our results of operations depend upon, among other things, our ability to maintain and increase sales volume with our existing distributors, retailers and foodservice customers, our ability to attract new consumers, the financial condition of our consumers and our ability to provide products that appeal to consumers at the right price. Decreases in demand for our products without a corresponding decrease in costs has put downward pressure on gross margin and has negatively impacted, and may continue to negatively impact, our financial results. Prolonged unfavorable economic conditions or uncertainty would likely have an adverse effect on our sales and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14" w:lineRule="exact"/>
        <w:rPr>
          <w:sz w:val="20"/>
          <w:szCs w:val="20"/>
          <w:color w:val="auto"/>
        </w:rPr>
      </w:pPr>
    </w:p>
    <w:p>
      <w:pPr>
        <w:ind w:right="260"/>
        <w:spacing w:after="0" w:line="286" w:lineRule="auto"/>
        <w:rPr>
          <w:sz w:val="20"/>
          <w:szCs w:val="20"/>
          <w:color w:val="auto"/>
        </w:rPr>
      </w:pPr>
      <w:r>
        <w:rPr>
          <w:rFonts w:ascii="Arial" w:cs="Arial" w:eastAsia="Arial" w:hAnsi="Arial"/>
          <w:sz w:val="18"/>
          <w:szCs w:val="18"/>
          <w:b w:val="1"/>
          <w:bCs w:val="1"/>
          <w:i w:val="1"/>
          <w:iCs w:val="1"/>
          <w:color w:val="auto"/>
        </w:rPr>
        <w:t>We may not be able to utilize our capacity efficiently or accurately plan our capacity requirements, which may adversely affect our gross margin, business and operating results.</w:t>
      </w:r>
    </w:p>
    <w:p>
      <w:pPr>
        <w:spacing w:after="0" w:line="169" w:lineRule="exact"/>
        <w:rPr>
          <w:sz w:val="20"/>
          <w:szCs w:val="20"/>
          <w:color w:val="auto"/>
        </w:rPr>
      </w:pPr>
    </w:p>
    <w:p>
      <w:pPr>
        <w:ind w:right="20" w:firstLine="318"/>
        <w:spacing w:after="0" w:line="260" w:lineRule="auto"/>
        <w:rPr>
          <w:sz w:val="20"/>
          <w:szCs w:val="20"/>
          <w:color w:val="auto"/>
        </w:rPr>
      </w:pPr>
      <w:r>
        <w:rPr>
          <w:rFonts w:ascii="Arial" w:cs="Arial" w:eastAsia="Arial" w:hAnsi="Arial"/>
          <w:sz w:val="18"/>
          <w:szCs w:val="18"/>
          <w:color w:val="auto"/>
        </w:rPr>
        <w:t>If we overestimate our demand and overbuild our capacity or inventory, as we have done in certain periods in the past, we may have significantly underutilized assets. Underutilization of our manufacturing and/or co-manufacturing facilities can adversely affect our gross margin and other operating results. If demand for our products experiences a prolonged decrease, we may be required to terminate or make penalty payments under certain supply chain arrangements, close or idle facilities, write down our long-lived assets, or shorten the useful lives and accelerate depreciation of our assets, which would increase our expenses. For example, in 2023 and 2022, lower than anticipated revenues negatively impacted our capacity utilization, which resulted in the Company incurring underutilization fees and termination fees that were required in order to exit certain supply chain arrangements.</w:t>
      </w:r>
    </w:p>
    <w:p>
      <w:pPr>
        <w:spacing w:after="0" w:line="153" w:lineRule="exact"/>
        <w:rPr>
          <w:sz w:val="20"/>
          <w:szCs w:val="20"/>
          <w:color w:val="auto"/>
        </w:rPr>
      </w:pPr>
    </w:p>
    <w:p>
      <w:pPr>
        <w:jc w:val="both"/>
        <w:ind w:right="200" w:firstLine="318"/>
        <w:spacing w:after="0" w:line="282" w:lineRule="auto"/>
        <w:rPr>
          <w:sz w:val="20"/>
          <w:szCs w:val="20"/>
          <w:color w:val="auto"/>
        </w:rPr>
      </w:pPr>
      <w:r>
        <w:rPr>
          <w:rFonts w:ascii="Arial" w:cs="Arial" w:eastAsia="Arial" w:hAnsi="Arial"/>
          <w:sz w:val="17"/>
          <w:szCs w:val="17"/>
          <w:color w:val="auto"/>
        </w:rPr>
        <w:t>If demand does not materialize at the rate forecasted, we may not be able to scale back our manufacturing expenses or overhead costs quickly enough to correspond to the lower than expected demand. This could result in lower margins and adversely impact our business and results of operations. Additionally, if product demand continues to decrease or stays flat or we fail to forecast demand accurately, our results may be adversely impacted due to higher costs resulting from lower manufacturing utilization, causing higher cost of goods sold per pound.</w:t>
      </w:r>
    </w:p>
    <w:p>
      <w:pPr>
        <w:spacing w:after="0" w:line="2"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Further we may be required to recognize excess or obsolete inventory write-off charges, or excess capacity charges. We routinely monitor and recognize excess or obsolete inventory write-off charges when appropriate, which has negatively impacted our results of operations. For example, in 2023, we recorded incremental provision for excess and obsolete inventory in the amount of $38.0 million primarily arising from our Global Operations Review and in the first quarter of 2025, we recorded incremental provision for excess and obsolete inventory in the amount of $4.3 million arising from specific strategic decisions to increase inventory provision for certain inventory items.</w:t>
      </w:r>
    </w:p>
    <w:p>
      <w:pPr>
        <w:spacing w:after="0" w:line="128" w:lineRule="exact"/>
        <w:rPr>
          <w:sz w:val="20"/>
          <w:szCs w:val="20"/>
          <w:color w:val="auto"/>
        </w:rPr>
      </w:pPr>
    </w:p>
    <w:p>
      <w:pPr>
        <w:ind w:right="100"/>
        <w:spacing w:after="0" w:line="286" w:lineRule="auto"/>
        <w:rPr>
          <w:sz w:val="20"/>
          <w:szCs w:val="20"/>
          <w:color w:val="auto"/>
        </w:rPr>
      </w:pPr>
      <w:r>
        <w:rPr>
          <w:rFonts w:ascii="Arial" w:cs="Arial" w:eastAsia="Arial" w:hAnsi="Arial"/>
          <w:sz w:val="18"/>
          <w:szCs w:val="18"/>
          <w:b w:val="1"/>
          <w:bCs w:val="1"/>
          <w:i w:val="1"/>
          <w:iCs w:val="1"/>
          <w:color w:val="auto"/>
        </w:rPr>
        <w:t>If we are unable to sell our inventory in a timely manner, it could become obsolete, which could require us to write-down or write-off obsolete inventory, which could harm our operating results.</w:t>
      </w:r>
    </w:p>
    <w:p>
      <w:pPr>
        <w:spacing w:after="0" w:line="182" w:lineRule="exact"/>
        <w:rPr>
          <w:sz w:val="20"/>
          <w:szCs w:val="20"/>
          <w:color w:val="auto"/>
        </w:rPr>
      </w:pPr>
    </w:p>
    <w:p>
      <w:pPr>
        <w:ind w:right="100" w:firstLine="318"/>
        <w:spacing w:after="0" w:line="287" w:lineRule="auto"/>
        <w:rPr>
          <w:sz w:val="20"/>
          <w:szCs w:val="20"/>
          <w:color w:val="auto"/>
        </w:rPr>
      </w:pPr>
      <w:r>
        <w:rPr>
          <w:rFonts w:ascii="Arial" w:cs="Arial" w:eastAsia="Arial" w:hAnsi="Arial"/>
          <w:sz w:val="17"/>
          <w:szCs w:val="17"/>
          <w:color w:val="auto"/>
        </w:rPr>
        <w:t>There is a risk that we may be unable to sell our inventory in a timely manner to avoid it becoming obsolete. If we are required to substantially discount our inventory or are unable to sell our inventory in a timely manner, we would be required to increase our inventory provision or write-off obsolete inventory and our operating results could be substantially harmed. Alternatively, we may be required to mark down certain products to sell any excess inventory or to sell such inventory through liquidation channels at significantly lower prices, which would negatively impact our business and operating results. For example, in the years ended December 31, 2023 and 2022, our net revenues were negatively impacted by strategic promotional discounts and our gross profit was negatively impacted by write-down of inventory, among other factors, which increased costs per pound. In the first quarter of 2025, we recorded incremental provision for excess and obsolete inventory in the amount of $4.3 million arising from specific strategic decisions to increase inventory provision for certain inventory items.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166"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i w:val="1"/>
          <w:iCs w:val="1"/>
          <w:color w:val="auto"/>
        </w:rPr>
        <w:t>Our international manufacturing operations have required and may continue to require substantial investments and are subject to numerous risks and uncertainties. The suspension of our operational activities in China in the first quarter of 2025 has resulted and may continue to result in significant accelerated depreciation and impairment charges in 2025.</w:t>
      </w:r>
    </w:p>
    <w:p>
      <w:pPr>
        <w:spacing w:after="0" w:line="107" w:lineRule="exact"/>
        <w:rPr>
          <w:sz w:val="20"/>
          <w:szCs w:val="20"/>
          <w:color w:val="auto"/>
        </w:rPr>
      </w:pPr>
    </w:p>
    <w:p>
      <w:pPr>
        <w:ind w:right="40" w:firstLine="318"/>
        <w:spacing w:after="0" w:line="264" w:lineRule="auto"/>
        <w:rPr>
          <w:sz w:val="20"/>
          <w:szCs w:val="20"/>
          <w:color w:val="auto"/>
        </w:rPr>
      </w:pPr>
      <w:r>
        <w:rPr>
          <w:rFonts w:ascii="Arial" w:cs="Arial" w:eastAsia="Arial" w:hAnsi="Arial"/>
          <w:sz w:val="18"/>
          <w:szCs w:val="18"/>
          <w:color w:val="auto"/>
        </w:rPr>
        <w:t>Our substantial investment in manufacturing facilities in China and Europe have exposed and may continue to expose us to substantial risks and, as a result, we may not realize a return on our investment. For example, although we invested a significant amount to establish local operations in China, in February 2025, we made the decision to suspend our operational activities in China. As such, we have not realized a sufficient return on our investment in China and expect to incur certain cash and non-cash charges in connection with the suspension of our operational activities in China in the first quarter of 2025. As a result of our decision to suspend our</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76" w:name="page77"/>
    <w:bookmarkEnd w:id="76"/>
    <w:p>
      <w:pPr>
        <w:spacing w:after="0" w:line="114"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operational activities in China, we currently estimate that we will incur accelerated depreciation and other inventory and asset write-offs in China totaling $13.0 million to $14.0 million through the end of 2026, of which $1.5 million in accelerated depreciation related to the reassessment of useful lives of certain assets was recognized in the first quarter of 2025, and the remainder of which is expected to be evenly distributed beginning in the second quarter of 2025 through the end of the fourth quarter of 2026. For additional details regarding the suspension of our operational activities in China in the first quarter of 2025, see Risk Factors—</w:t>
      </w:r>
      <w:r>
        <w:rPr>
          <w:rFonts w:ascii="Arial" w:cs="Arial" w:eastAsia="Arial" w:hAnsi="Arial"/>
          <w:sz w:val="18"/>
          <w:szCs w:val="18"/>
          <w:i w:val="1"/>
          <w:iCs w:val="1"/>
          <w:color w:val="auto"/>
        </w:rPr>
        <w:t>Risks Related to Our Business—Our strategic initiatives to improve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our cost structure could have long-term adverse effects on our business, and we may not realize the operational or financial benefits from such actions, including achieving and/or sustaining our profitability and financial performance objectives </w:t>
      </w:r>
      <w:r>
        <w:rPr>
          <w:rFonts w:ascii="Arial" w:cs="Arial" w:eastAsia="Arial" w:hAnsi="Arial"/>
          <w:sz w:val="18"/>
          <w:szCs w:val="18"/>
          <w:color w:val="auto"/>
        </w:rPr>
        <w:t>in Part I, Item 1A,</w:t>
      </w:r>
      <w:r>
        <w:rPr>
          <w:rFonts w:ascii="Arial" w:cs="Arial" w:eastAsia="Arial" w:hAnsi="Arial"/>
          <w:sz w:val="18"/>
          <w:szCs w:val="18"/>
          <w:i w:val="1"/>
          <w:iCs w:val="1"/>
          <w:color w:val="auto"/>
        </w:rPr>
        <w:t xml:space="preserve"> Risk Factors, </w:t>
      </w:r>
      <w:r>
        <w:rPr>
          <w:rFonts w:ascii="Arial" w:cs="Arial" w:eastAsia="Arial" w:hAnsi="Arial"/>
          <w:sz w:val="18"/>
          <w:szCs w:val="18"/>
          <w:color w:val="auto"/>
        </w:rPr>
        <w:t>in our 2024</w:t>
      </w:r>
      <w:r>
        <w:rPr>
          <w:rFonts w:ascii="Arial" w:cs="Arial" w:eastAsia="Arial" w:hAnsi="Arial"/>
          <w:sz w:val="18"/>
          <w:szCs w:val="18"/>
          <w:i w:val="1"/>
          <w:iCs w:val="1"/>
          <w:color w:val="auto"/>
        </w:rPr>
        <w:t xml:space="preserve"> </w:t>
      </w:r>
      <w:r>
        <w:rPr>
          <w:rFonts w:ascii="Arial" w:cs="Arial" w:eastAsia="Arial" w:hAnsi="Arial"/>
          <w:sz w:val="18"/>
          <w:szCs w:val="18"/>
          <w:color w:val="auto"/>
        </w:rPr>
        <w:t>10-K.</w:t>
      </w:r>
    </w:p>
    <w:p>
      <w:pPr>
        <w:spacing w:after="0" w:line="127" w:lineRule="exact"/>
        <w:rPr>
          <w:sz w:val="20"/>
          <w:szCs w:val="20"/>
          <w:color w:val="auto"/>
        </w:rPr>
      </w:pPr>
    </w:p>
    <w:p>
      <w:pPr>
        <w:ind w:right="60" w:firstLine="318"/>
        <w:spacing w:after="0" w:line="263" w:lineRule="auto"/>
        <w:rPr>
          <w:sz w:val="20"/>
          <w:szCs w:val="20"/>
          <w:color w:val="auto"/>
        </w:rPr>
      </w:pPr>
      <w:r>
        <w:rPr>
          <w:rFonts w:ascii="Arial" w:cs="Arial" w:eastAsia="Arial" w:hAnsi="Arial"/>
          <w:sz w:val="18"/>
          <w:szCs w:val="18"/>
          <w:color w:val="auto"/>
        </w:rPr>
        <w:t>Unforeseen delays in the suspension of our operational activities in China may cause us to incur additional expenses. Operating or otherwise repurposing or disposing of our facilities in China may require additional capital expenditures and the efforts and attention of our management team and other personnel, which will divert resources from our existing business or operations. In addition, our manufacturing facility in Enschede, the Netherlands may not provide us with all of the operational and financial benefits we expect to receive. These and other risks may result in our not realizing a return on, or losing some or all, of our investments in China and Europe, which could have a material adverse effect on our financial condition and financial performance.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Lease Obligations, Indebtedness, Financial Position and Need for Additional Capital</w:t>
      </w:r>
    </w:p>
    <w:p>
      <w:pPr>
        <w:spacing w:after="0" w:line="166"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i w:val="1"/>
          <w:iCs w:val="1"/>
          <w:color w:val="auto"/>
        </w:rPr>
        <w:t>Our significant indebtedness and liabilities could limit the cash flow available for our operations, expose us to risks that could adversely affect our business, financial condition and results of operations and impair our ability to satisfy our obligations under the Notes.</w:t>
      </w:r>
    </w:p>
    <w:p>
      <w:pPr>
        <w:spacing w:after="0" w:line="107"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 xml:space="preserve">As of March 29, 2025, we had approximately $1.3 billion of consolidated indebtedness and other liabilities. On May 7, 2025, we entered into the Loan and Security Agreement, pursuant to which the Lenders agreed to provide for a senior secured delayed draw term loan facility in an aggregate principal amount of up to $ 100.0 million. The Delayed Draw Term Loans are secured by a first-priority lien and security interest in substantially all of our assets and the assets of certain of our subsidiaries, subject to certain exceptions. For additional information, see </w:t>
      </w:r>
      <w:r>
        <w:rPr>
          <w:rFonts w:ascii="Arial" w:cs="Arial" w:eastAsia="Arial" w:hAnsi="Arial"/>
          <w:sz w:val="18"/>
          <w:szCs w:val="18"/>
          <w:i w:val="1"/>
          <w:iCs w:val="1"/>
          <w:color w:val="auto"/>
        </w:rPr>
        <w:t xml:space="preserve">Management’s Discussion and Analysis of Financial Condition and Results of Operations—Liquidity and Capital Resources—Liquidity—Loan and Security Agreement; Warrant Agreement </w:t>
      </w:r>
      <w:r>
        <w:rPr>
          <w:rFonts w:ascii="Arial" w:cs="Arial" w:eastAsia="Arial" w:hAnsi="Arial"/>
          <w:sz w:val="18"/>
          <w:szCs w:val="18"/>
          <w:color w:val="auto"/>
        </w:rPr>
        <w:t>elsewhere in this report.</w:t>
      </w:r>
    </w:p>
    <w:p>
      <w:pPr>
        <w:spacing w:after="0" w:line="152" w:lineRule="exact"/>
        <w:rPr>
          <w:sz w:val="20"/>
          <w:szCs w:val="20"/>
          <w:color w:val="auto"/>
        </w:rPr>
      </w:pPr>
    </w:p>
    <w:p>
      <w:pPr>
        <w:ind w:right="720" w:firstLine="318"/>
        <w:spacing w:after="0" w:line="321" w:lineRule="auto"/>
        <w:rPr>
          <w:sz w:val="20"/>
          <w:szCs w:val="20"/>
          <w:color w:val="auto"/>
        </w:rPr>
      </w:pPr>
      <w:r>
        <w:rPr>
          <w:rFonts w:ascii="Arial" w:cs="Arial" w:eastAsia="Arial" w:hAnsi="Arial"/>
          <w:sz w:val="17"/>
          <w:szCs w:val="17"/>
          <w:color w:val="auto"/>
        </w:rPr>
        <w:t>We may choose to incur additional indebtedness to meet future financing needs. Our indebtedness could have significant negative consequences for our security holders and our business, results of operations and financial condition by, among other things:</w:t>
      </w:r>
    </w:p>
    <w:p>
      <w:pPr>
        <w:spacing w:after="0" w:line="87" w:lineRule="exact"/>
        <w:rPr>
          <w:sz w:val="20"/>
          <w:szCs w:val="20"/>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limiting our ability to obtain additional equity/or debt financing;</w:t>
      </w:r>
    </w:p>
    <w:p>
      <w:pPr>
        <w:spacing w:after="0" w:line="177" w:lineRule="exact"/>
        <w:rPr>
          <w:rFonts w:ascii="Arial" w:cs="Arial" w:eastAsia="Arial" w:hAnsi="Arial"/>
          <w:sz w:val="18"/>
          <w:szCs w:val="18"/>
          <w:color w:val="auto"/>
        </w:rPr>
      </w:pPr>
    </w:p>
    <w:p>
      <w:pPr>
        <w:ind w:left="640" w:hanging="316"/>
        <w:spacing w:after="0" w:line="290"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flows from operating activities to service our indebtedness, which will reduce the amount of cash available for other purposes;</w:t>
      </w:r>
    </w:p>
    <w:p>
      <w:pPr>
        <w:spacing w:after="0" w:line="96"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limiting our flexibility to plan for, or react to, changes in our business;</w:t>
      </w:r>
    </w:p>
    <w:p>
      <w:pPr>
        <w:spacing w:after="0" w:line="177" w:lineRule="exact"/>
        <w:rPr>
          <w:rFonts w:ascii="Arial" w:cs="Arial" w:eastAsia="Arial" w:hAnsi="Arial"/>
          <w:sz w:val="18"/>
          <w:szCs w:val="18"/>
          <w:color w:val="auto"/>
        </w:rPr>
      </w:pPr>
    </w:p>
    <w:p>
      <w:pPr>
        <w:ind w:left="640" w:right="40" w:hanging="316"/>
        <w:spacing w:after="0" w:line="267" w:lineRule="auto"/>
        <w:tabs>
          <w:tab w:leader="none" w:pos="6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diluting the interests of our existing stockholders as a result of issuing shares of our common stock upon conversion or exchange of the Notes, or upon exercise of the Warrants under the Warrant Agreement, which may also reduce the trading price of our common stock; and</w:t>
      </w:r>
    </w:p>
    <w:p>
      <w:pPr>
        <w:spacing w:after="0" w:line="130" w:lineRule="exact"/>
        <w:rPr>
          <w:rFonts w:ascii="Arial" w:cs="Arial" w:eastAsia="Arial" w:hAnsi="Arial"/>
          <w:sz w:val="18"/>
          <w:szCs w:val="18"/>
          <w:color w:val="auto"/>
        </w:rPr>
      </w:pPr>
    </w:p>
    <w:p>
      <w:pPr>
        <w:ind w:left="640" w:hanging="31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placing us at a possible competitive disadvantage with competitors that are less leveraged than us or have better access to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7" w:name="page78"/>
    <w:bookmarkEnd w:id="77"/>
    <w:p>
      <w:pPr>
        <w:spacing w:after="0" w:line="114" w:lineRule="exact"/>
        <w:rPr>
          <w:sz w:val="20"/>
          <w:szCs w:val="20"/>
          <w:color w:val="auto"/>
        </w:rPr>
      </w:pPr>
    </w:p>
    <w:p>
      <w:pPr>
        <w:ind w:right="180" w:firstLine="318"/>
        <w:spacing w:after="0" w:line="259" w:lineRule="auto"/>
        <w:rPr>
          <w:sz w:val="20"/>
          <w:szCs w:val="20"/>
          <w:color w:val="auto"/>
        </w:rPr>
      </w:pPr>
      <w:r>
        <w:rPr>
          <w:rFonts w:ascii="Arial" w:cs="Arial" w:eastAsia="Arial" w:hAnsi="Arial"/>
          <w:sz w:val="18"/>
          <w:szCs w:val="18"/>
          <w:color w:val="auto"/>
        </w:rPr>
        <w:t>Our ability to make scheduled payments of the principal of, to pay interest on or to refinance our current or future indebtedness, including our indebtedness under the Loan and Security Agreement and the Notes, as applicable, depends on our future performance and our ability to raise additional capital, which is subject to economic, financial, competitive and other factors beyond our control. We may be unable to refinance the Notes on terms satisfactory to us, or at all. Such financing and other potential financings could result in substantial dilution to stockholders, and could result in the reduction in the trading price of our common stock, imposition of debt covenants and repayment obligations, or security interests on our assets or other restrictions that may adversely affect our business. For example, if we draw on the Delayed Draw Term Loan Facility under our Loan and Security Agreement and the Lenders exercise their Warrants pursuant to the Warrant Agreement, the resulting issuance of our common stock to such Lenders would have a dilutive effect on our current stockholders and could negatively affect the trading price of our common stock.</w:t>
      </w:r>
    </w:p>
    <w:p>
      <w:pPr>
        <w:spacing w:after="0" w:line="136" w:lineRule="exact"/>
        <w:rPr>
          <w:sz w:val="20"/>
          <w:szCs w:val="20"/>
          <w:color w:val="auto"/>
        </w:rPr>
      </w:pPr>
    </w:p>
    <w:p>
      <w:pPr>
        <w:ind w:right="20" w:firstLine="318"/>
        <w:spacing w:after="0" w:line="260" w:lineRule="auto"/>
        <w:rPr>
          <w:sz w:val="20"/>
          <w:szCs w:val="20"/>
          <w:color w:val="auto"/>
        </w:rPr>
      </w:pPr>
      <w:r>
        <w:rPr>
          <w:rFonts w:ascii="Arial" w:cs="Arial" w:eastAsia="Arial" w:hAnsi="Arial"/>
          <w:sz w:val="18"/>
          <w:szCs w:val="18"/>
          <w:color w:val="auto"/>
        </w:rPr>
        <w:t>Among other things the Loan and Security Agreement includes covenants that (i) require us to maintain liquidity of at least $15.0 million, (ii) do not permit our cash interest payments due under all of the Loan Parties’ subordinated debt and unsecured debt for borrowed money for any fiscal year, in the aggregate, to exceed $20.0 million, and (iii) cap the amount of cash that can be used to repay the Notes at their maturity at $60.0 million, subject to increase to the extent of any equity raises. The Loan and Security Agreement also contains covenants that restrict the ability of the Loan Parties and certain of their subsidiaries to make dividends or distributions, incur additional debt (including subordinated debt), engage in certain asset sales, mergers, acquisitions or similar transactions, create liens on assets, engage in certain transactions with affiliates, change their businesses or make investments. The Loan and Security Agreement also has change of control provisions that could have the effect of delaying or preventing an otherwise beneficial takeover of the Company.</w:t>
      </w:r>
    </w:p>
    <w:p>
      <w:pPr>
        <w:spacing w:after="0" w:line="127"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 xml:space="preserve">The Loan and Security Agreement is secured by a first priority lien and security interest in substantially all of our assets and the assets of certain of our subsidiaries, subject to certain exceptions. Because a substantial portion of our assets secure the Loan and Security Agreement, we may not have substantial remaining assets available to secure other indebtedness. The Loan and Security Agreement also limits our ability to incur other indebtedness that has a first priority lien and security interest in the assets securing the Delayed Draw Term Loan Facility or that would be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to the Delayed Draw Term Loans. Accordingly, we may not be able to incur additional secured indebtedness, or may be limited in our ability to incur indebtedness that is first lien or senior indebtedness, in the future. If we are unable to incur additional indebtedness, either to finance our operations, refinance or repay the Notes or for other purposes, it would have a material adverse effect on our business, financial condition and results of operations.</w:t>
      </w:r>
    </w:p>
    <w:p>
      <w:pPr>
        <w:spacing w:after="0" w:line="127" w:lineRule="exact"/>
        <w:rPr>
          <w:sz w:val="20"/>
          <w:szCs w:val="20"/>
          <w:color w:val="auto"/>
        </w:rPr>
      </w:pPr>
    </w:p>
    <w:p>
      <w:pPr>
        <w:ind w:firstLine="318"/>
        <w:spacing w:after="0" w:line="282" w:lineRule="auto"/>
        <w:rPr>
          <w:sz w:val="20"/>
          <w:szCs w:val="20"/>
          <w:color w:val="auto"/>
        </w:rPr>
      </w:pPr>
      <w:r>
        <w:rPr>
          <w:rFonts w:ascii="Arial" w:cs="Arial" w:eastAsia="Arial" w:hAnsi="Arial"/>
          <w:sz w:val="17"/>
          <w:szCs w:val="17"/>
          <w:color w:val="auto"/>
        </w:rPr>
        <w:t>Based on our current business plan, we expect to raise additional capital to pay amounts due under our current or future indebtedness, including the Notes, and our cash needs may increase in the future. In addition, any future indebtedness that we may incur may be secured and may contain additional financial and other restrictive covenants that limit our ability to operate our business, raise capital or make payments under our other indebtedness. If we fail to comply with these covenants or the covenants under the Loan and Security Agreement, or to make payments under our indebtedness when due, then we would be in default under that indebtedness, which could, in turn, result in that and our other indebtedness becoming immediately payable in full, and could cause us to become insolvent or enter bankruptcy proceedings.</w:t>
      </w:r>
    </w:p>
    <w:p>
      <w:pPr>
        <w:spacing w:after="0" w:line="106" w:lineRule="exact"/>
        <w:rPr>
          <w:sz w:val="20"/>
          <w:szCs w:val="20"/>
          <w:color w:val="auto"/>
        </w:rPr>
      </w:pPr>
    </w:p>
    <w:p>
      <w:pPr>
        <w:ind w:right="140" w:firstLine="318"/>
        <w:spacing w:after="0" w:line="265" w:lineRule="auto"/>
        <w:rPr>
          <w:sz w:val="20"/>
          <w:szCs w:val="20"/>
          <w:color w:val="auto"/>
        </w:rPr>
      </w:pPr>
      <w:r>
        <w:rPr>
          <w:rFonts w:ascii="Arial" w:cs="Arial" w:eastAsia="Arial" w:hAnsi="Arial"/>
          <w:sz w:val="18"/>
          <w:szCs w:val="18"/>
          <w:color w:val="auto"/>
        </w:rPr>
        <w:t>Additionally, if our liquidity position is impaired, we may be required to take further actions in relation to management of liabilities on our balance sheet. Any actions in relation to liability management and balance sheet restructuring may materially reduce the value of our common stock, dilute existing holders of our common stock by the conversion of existing liabilities into equity or result in the cancellation of existing common stock.</w:t>
      </w:r>
    </w:p>
    <w:p>
      <w:pPr>
        <w:spacing w:after="0" w:line="133"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i w:val="1"/>
          <w:iCs w:val="1"/>
          <w:color w:val="auto"/>
        </w:rPr>
        <w:t>We may be unable to raise the funds necessary to repurchase the Notes for cash following a fundamental change, or to pay the cash amounts due upon conversion, and our future indebtedness may limit our ability to repurchase the Notes or pay cash upon their conversion.</w:t>
      </w:r>
    </w:p>
    <w:p>
      <w:pPr>
        <w:spacing w:after="0" w:line="107" w:lineRule="exact"/>
        <w:rPr>
          <w:sz w:val="20"/>
          <w:szCs w:val="20"/>
          <w:color w:val="auto"/>
        </w:rPr>
      </w:pPr>
    </w:p>
    <w:p>
      <w:pPr>
        <w:ind w:right="600" w:firstLine="318"/>
        <w:spacing w:after="0" w:line="290" w:lineRule="auto"/>
        <w:rPr>
          <w:sz w:val="20"/>
          <w:szCs w:val="20"/>
          <w:color w:val="auto"/>
        </w:rPr>
      </w:pPr>
      <w:r>
        <w:rPr>
          <w:rFonts w:ascii="Arial" w:cs="Arial" w:eastAsia="Arial" w:hAnsi="Arial"/>
          <w:sz w:val="18"/>
          <w:szCs w:val="18"/>
          <w:color w:val="auto"/>
        </w:rPr>
        <w:t>Holders of the Notes may, subject to a limited exception, require us to repurchase their Notes following a “Fundamental Change” (as defined in the indenture governing the Notes (the “Indenture”)) at a cash repurchase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8" w:name="page79"/>
    <w:bookmarkEnd w:id="78"/>
    <w:p>
      <w:pPr>
        <w:spacing w:after="0" w:line="114"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 xml:space="preserve">price generally equal to the principal amount of the Notes to be repurchased, plus accrued and unpaid special and additional interest, if any. In addition, all conversions of Notes will be settled partially or entirely in cash. We may not have enough available cash or be able to obtain financing at the time we are required to repurchase the Notes or pay the cash amounts due upon conversion. In addition, applicable law, regulatory authorities and the agreements governing our future indebtedness may restrict our ability to repurchase the Notes or pay the cash amounts due upon conversion. For example, the Loan and Security Agreement contains covenants that restrict our ability to make certain payments on the Notes and restrictions that may limit our ability to raise additional financing. See </w:t>
      </w:r>
      <w:r>
        <w:rPr>
          <w:rFonts w:ascii="Arial" w:cs="Arial" w:eastAsia="Arial" w:hAnsi="Arial"/>
          <w:sz w:val="18"/>
          <w:szCs w:val="18"/>
          <w:u w:val="single" w:color="auto"/>
          <w:color w:val="0000FF"/>
        </w:rPr>
        <w:t>Note 14</w:t>
      </w:r>
      <w:r>
        <w:rPr>
          <w:rFonts w:ascii="Arial" w:cs="Arial" w:eastAsia="Arial" w:hAnsi="Arial"/>
          <w:sz w:val="18"/>
          <w:szCs w:val="18"/>
          <w:color w:val="auto"/>
        </w:rPr>
        <w:t xml:space="preserve">, </w:t>
      </w:r>
      <w:r>
        <w:rPr>
          <w:rFonts w:ascii="Arial" w:cs="Arial" w:eastAsia="Arial" w:hAnsi="Arial"/>
          <w:sz w:val="18"/>
          <w:szCs w:val="18"/>
          <w:i w:val="1"/>
          <w:iCs w:val="1"/>
          <w:color w:val="auto"/>
        </w:rPr>
        <w:t>Subsequent Event</w:t>
      </w:r>
      <w:r>
        <w:rPr>
          <w:rFonts w:ascii="Arial" w:cs="Arial" w:eastAsia="Arial" w:hAnsi="Arial"/>
          <w:sz w:val="18"/>
          <w:szCs w:val="18"/>
          <w:color w:val="auto"/>
        </w:rPr>
        <w:t>, to the Notes to Unaudited Condensed Consolidated Financial Statements included elsewhere in this report. Our failure to repurchase the Notes or to pay the cash amounts due upon conversion when required will constitute a default under the Indenture. A default under the Indenture or the Fundamental Change itself could also lead to a default under agreements governing our future indebtedness, which may result in that indebtedness becoming immediately payable in full. If the repayment of such future indebtedness were to be accelerated after any applicable notice or grace periods, then we may not have sufficient funds to repay that indebtedness and repurchase the Notes or make cash payments upon their conversion and could cause us to become insolvent or enter bankruptcy proceedings.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accounting method for the Notes could adversely affect our reported financial condition and results.</w:t>
      </w:r>
    </w:p>
    <w:p>
      <w:pPr>
        <w:spacing w:after="0" w:line="164"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The Notes do not bear regular interest, and the principal amount of the Notes do not accrete. However, special interest and additional interest may accrue on the Notes at a rate per annum not exceeding 0.50% (subject to certain exceptions) upon the occurrence of certain events relating to the failure to file certain SEC reports or to remove certain restrictive legends from the Notes. The accounting method for reflecting the Notes on our balance sheet may adversely affect our reported earnings and financial condition. If any of the conditions to the convertibility of the Notes is satisfied or the Notes become due within one year, then we may be required under applicable accounting standards to reclassify the liability carrying value of the Notes as a current, rather than a long-term, liability. This reclassification could be required even if no noteholders convert their Notes and could materially reduce our reported working capital.</w:t>
      </w:r>
    </w:p>
    <w:p>
      <w:pPr>
        <w:spacing w:after="0" w:line="126" w:lineRule="exact"/>
        <w:rPr>
          <w:sz w:val="20"/>
          <w:szCs w:val="20"/>
          <w:color w:val="auto"/>
        </w:rPr>
      </w:pPr>
    </w:p>
    <w:p>
      <w:pPr>
        <w:ind w:right="40" w:firstLine="318"/>
        <w:spacing w:after="0" w:line="260" w:lineRule="auto"/>
        <w:rPr>
          <w:sz w:val="20"/>
          <w:szCs w:val="20"/>
          <w:color w:val="auto"/>
        </w:rPr>
      </w:pPr>
      <w:r>
        <w:rPr>
          <w:rFonts w:ascii="Arial" w:cs="Arial" w:eastAsia="Arial" w:hAnsi="Arial"/>
          <w:sz w:val="18"/>
          <w:szCs w:val="18"/>
          <w:color w:val="auto"/>
        </w:rPr>
        <w:t>We early adopted Accounting Standards Update No. 2020-06, “Debt with Conversion and Other Options (Subtopic 470-20) and Derivatives and Hedging—Contracts in Entity's Own Equity”, to account for the Notes which eliminates the treasury stock method for convertible instruments that can be settled in whole or in part with equity and instead requires the application of the more dilutive of the “if-converted” method or the two-class method. Under the if-converted method, diluted earnings per share would generally be calculated assuming that all the conversion premium or spread were converted at the beginning of the reporting period, unless the result would be anti-dilutive. The conversion premium or spread would have a dilutive impact on net income per share when the average market price of the Company’s common stock for a given period exceeds the conversion price.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capped call transactions may affect the value of the Notes and our common stock.</w:t>
      </w:r>
    </w:p>
    <w:p>
      <w:pPr>
        <w:spacing w:after="0" w:line="164"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In connection with the Notes, we entered into privately negotiated capped call transactions with the option counterparties. The capped call transactions will cover, subject to customary adjustments, the number of shares of common stock that underlie the Notes. The capped call transactions are expected generally to reduce potential dilution to our common stock upon conversion of the Notes or at our election (subject to certain conditions) offset any cash payments we are required to make in excess of the aggregate principal amount of the converted Notes, as the case may be, with such reduction or offset subject to a cap.</w:t>
      </w:r>
    </w:p>
    <w:p>
      <w:pPr>
        <w:spacing w:after="0" w:line="120" w:lineRule="exact"/>
        <w:rPr>
          <w:sz w:val="20"/>
          <w:szCs w:val="20"/>
          <w:color w:val="auto"/>
        </w:rPr>
      </w:pPr>
    </w:p>
    <w:p>
      <w:pPr>
        <w:ind w:firstLine="318"/>
        <w:spacing w:after="0" w:line="275" w:lineRule="auto"/>
        <w:rPr>
          <w:sz w:val="20"/>
          <w:szCs w:val="20"/>
          <w:color w:val="auto"/>
        </w:rPr>
      </w:pPr>
      <w:r>
        <w:rPr>
          <w:rFonts w:ascii="Arial" w:cs="Arial" w:eastAsia="Arial" w:hAnsi="Arial"/>
          <w:sz w:val="18"/>
          <w:szCs w:val="18"/>
          <w:color w:val="auto"/>
        </w:rPr>
        <w:t>We have been advised that, in connection with establishing their initial hedges of the capped call transactions, the option counterparties or their respective affiliates purchased shares of our common stock and/or entered into various derivative transactions with respect to our common stock.</w:t>
      </w:r>
    </w:p>
    <w:p>
      <w:pPr>
        <w:spacing w:after="0" w:line="110" w:lineRule="exact"/>
        <w:rPr>
          <w:sz w:val="20"/>
          <w:szCs w:val="20"/>
          <w:color w:val="auto"/>
        </w:rPr>
      </w:pPr>
    </w:p>
    <w:p>
      <w:pPr>
        <w:ind w:right="180" w:firstLine="318"/>
        <w:spacing w:after="0" w:line="275" w:lineRule="auto"/>
        <w:rPr>
          <w:sz w:val="20"/>
          <w:szCs w:val="20"/>
          <w:color w:val="auto"/>
        </w:rPr>
      </w:pPr>
      <w:r>
        <w:rPr>
          <w:rFonts w:ascii="Arial" w:cs="Arial" w:eastAsia="Arial" w:hAnsi="Arial"/>
          <w:sz w:val="18"/>
          <w:szCs w:val="18"/>
          <w:color w:val="auto"/>
        </w:rPr>
        <w:t>In addition, we have been advised that the option counterparties or their respective affiliates may modify their hedge positions by entering into or unwinding various derivatives with respect to our common stock and/or purchasing or selling our common stock or other securities of ours in secondary market transactions following</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9" w:name="page80"/>
    <w:bookmarkEnd w:id="79"/>
    <w:p>
      <w:pPr>
        <w:spacing w:after="0" w:line="114" w:lineRule="exact"/>
        <w:rPr>
          <w:sz w:val="20"/>
          <w:szCs w:val="20"/>
          <w:color w:val="auto"/>
        </w:rPr>
      </w:pPr>
    </w:p>
    <w:p>
      <w:pPr>
        <w:jc w:val="both"/>
        <w:ind w:right="80"/>
        <w:spacing w:after="0" w:line="267" w:lineRule="auto"/>
        <w:rPr>
          <w:sz w:val="20"/>
          <w:szCs w:val="20"/>
          <w:color w:val="auto"/>
        </w:rPr>
      </w:pPr>
      <w:r>
        <w:rPr>
          <w:rFonts w:ascii="Arial" w:cs="Arial" w:eastAsia="Arial" w:hAnsi="Arial"/>
          <w:sz w:val="18"/>
          <w:szCs w:val="18"/>
          <w:color w:val="auto"/>
        </w:rPr>
        <w:t>the pricing of the Notes and prior to the maturity of the Notes (and are likely to do so on each exercise date of the capped call transactions, and in connection with any early termination event in respect of the capped call transactions). This activity could also cause or avoid an increase or a decrease in the market price of our common stock.</w:t>
      </w:r>
    </w:p>
    <w:p>
      <w:pPr>
        <w:spacing w:after="0" w:line="131" w:lineRule="exact"/>
        <w:rPr>
          <w:sz w:val="20"/>
          <w:szCs w:val="20"/>
          <w:color w:val="auto"/>
        </w:rPr>
      </w:pPr>
    </w:p>
    <w:p>
      <w:pPr>
        <w:ind w:right="40"/>
        <w:spacing w:after="0" w:line="286" w:lineRule="auto"/>
        <w:rPr>
          <w:sz w:val="20"/>
          <w:szCs w:val="20"/>
          <w:color w:val="auto"/>
        </w:rPr>
      </w:pPr>
      <w:r>
        <w:rPr>
          <w:rFonts w:ascii="Arial" w:cs="Arial" w:eastAsia="Arial" w:hAnsi="Arial"/>
          <w:sz w:val="18"/>
          <w:szCs w:val="18"/>
          <w:b w:val="1"/>
          <w:bCs w:val="1"/>
          <w:i w:val="1"/>
          <w:iCs w:val="1"/>
          <w:color w:val="auto"/>
        </w:rPr>
        <w:t>Provisions in the Indenture governing the Notes and the Loan and Security Agreement could delay or prevent an otherwise beneficial takeover of us.</w:t>
      </w:r>
    </w:p>
    <w:p>
      <w:pPr>
        <w:spacing w:after="0" w:line="90" w:lineRule="exact"/>
        <w:rPr>
          <w:sz w:val="20"/>
          <w:szCs w:val="20"/>
          <w:color w:val="auto"/>
        </w:rPr>
      </w:pPr>
    </w:p>
    <w:p>
      <w:pPr>
        <w:ind w:right="20" w:firstLine="318"/>
        <w:spacing w:after="0" w:line="260" w:lineRule="auto"/>
        <w:rPr>
          <w:sz w:val="20"/>
          <w:szCs w:val="20"/>
          <w:color w:val="auto"/>
        </w:rPr>
      </w:pPr>
      <w:r>
        <w:rPr>
          <w:rFonts w:ascii="Arial" w:cs="Arial" w:eastAsia="Arial" w:hAnsi="Arial"/>
          <w:sz w:val="18"/>
          <w:szCs w:val="18"/>
          <w:color w:val="auto"/>
        </w:rPr>
        <w:t>Certain provisions in the Notes and the Indenture, as well as the Loan and Security Agreement, could make a third party attempt to acquire us more difficult or expensive. For example, if a takeover constitutes a fundamental change, then noteholders will have the right to require us to repurchase their Notes for cash. In addition, if a takeover constitutes a Make-Whole Fundamental Change (as defined in the Indenture), then we may be required to temporarily increase the conversion rate. The Loan and Security Agreement also contains change of control provisions that could have the effect of delaying or preventing an otherwise beneficial takeover of the Company. In any of these cases, and in other cases, our obligations under the Notes and the Indenture, as well as the Loan and Security Agreement, could increase the cost of acquiring us or otherwise discourage a third party from acquiring us or removing incumbent management, including in a transaction that holders of our common stock or Notes may view as favorable.</w:t>
      </w:r>
    </w:p>
    <w:p>
      <w:pPr>
        <w:spacing w:after="0" w:line="127" w:lineRule="exact"/>
        <w:rPr>
          <w:sz w:val="20"/>
          <w:szCs w:val="20"/>
          <w:color w:val="auto"/>
        </w:rPr>
      </w:pPr>
    </w:p>
    <w:p>
      <w:pPr>
        <w:jc w:val="both"/>
        <w:ind w:right="200"/>
        <w:spacing w:after="0" w:line="317" w:lineRule="auto"/>
        <w:rPr>
          <w:sz w:val="20"/>
          <w:szCs w:val="20"/>
          <w:color w:val="auto"/>
        </w:rPr>
      </w:pPr>
      <w:r>
        <w:rPr>
          <w:rFonts w:ascii="Arial" w:cs="Arial" w:eastAsia="Arial" w:hAnsi="Arial"/>
          <w:sz w:val="17"/>
          <w:szCs w:val="17"/>
          <w:b w:val="1"/>
          <w:bCs w:val="1"/>
          <w:i w:val="1"/>
          <w:iCs w:val="1"/>
          <w:color w:val="auto"/>
        </w:rPr>
        <w:t>We may require additional financing to achieve our goals, and a failure to obtain this necessary capital when needed on acceptable terms, or at all, may force us to delay, limit, reduce or terminate our product manufacturing and development, and other operations.</w:t>
      </w:r>
    </w:p>
    <w:p>
      <w:pPr>
        <w:spacing w:after="0" w:line="67" w:lineRule="exact"/>
        <w:rPr>
          <w:sz w:val="20"/>
          <w:szCs w:val="20"/>
          <w:color w:val="auto"/>
        </w:rPr>
      </w:pPr>
    </w:p>
    <w:p>
      <w:pPr>
        <w:ind w:right="40" w:firstLine="318"/>
        <w:spacing w:after="0" w:line="260" w:lineRule="auto"/>
        <w:rPr>
          <w:sz w:val="20"/>
          <w:szCs w:val="20"/>
          <w:color w:val="auto"/>
        </w:rPr>
      </w:pPr>
      <w:r>
        <w:rPr>
          <w:rFonts w:ascii="Arial" w:cs="Arial" w:eastAsia="Arial" w:hAnsi="Arial"/>
          <w:sz w:val="18"/>
          <w:szCs w:val="18"/>
          <w:color w:val="auto"/>
        </w:rPr>
        <w:t>Since our inception, substantially all of our resources have been dedicated to the development of our three core plant-based product platforms of beef, pork and poultry, including purchases of property, plant and equipment, principally to support the development and production of our products, the build-out and equipping of our former Manhattan Beach Project Innovation Center and our Innovation Center within our Campus Headquarters, and the purchase, build-out and equipping of manufacturing facilities in the U.S. and abroad. We have and believe that we will continue to expend resources as we expand into additional markets we may choose to pursue. These expenditures are expected to include costs associated with research and development, manufacturing and supply, as well as marketing and selling existing and new products. In addition, other unanticipated costs may arise.</w:t>
      </w:r>
    </w:p>
    <w:p>
      <w:pPr>
        <w:spacing w:after="0" w:line="140" w:lineRule="exact"/>
        <w:rPr>
          <w:sz w:val="20"/>
          <w:szCs w:val="20"/>
          <w:color w:val="auto"/>
        </w:rPr>
      </w:pPr>
    </w:p>
    <w:p>
      <w:pPr>
        <w:ind w:firstLine="318"/>
        <w:spacing w:after="0" w:line="257" w:lineRule="auto"/>
        <w:rPr>
          <w:sz w:val="20"/>
          <w:szCs w:val="20"/>
          <w:color w:val="auto"/>
        </w:rPr>
      </w:pPr>
      <w:r>
        <w:rPr>
          <w:rFonts w:ascii="Arial" w:cs="Arial" w:eastAsia="Arial" w:hAnsi="Arial"/>
          <w:sz w:val="18"/>
          <w:szCs w:val="18"/>
          <w:color w:val="auto"/>
        </w:rPr>
        <w:t xml:space="preserve">As of March 29, 2025, we had cash and cash equivalents and restricted cash totaling $115.8 million. In addition to the Notes and the funds available to us under the Loan and Security Agreement, we expect to raise significant additional capital through the issuance of additional equity and/or debt securities, and/or incur other indebtedness, some or all of which may be secured, to continue to fund our operations and repay our indebtedness in the future. To continue bolstering and restructuring our balance sheet, subject to our compliance with applicable laws, the applicable requirements of the Loan and Security Agreement and our equity distribution agreement, dated as of November 7, 2024 (the “Equity Distribution Agreement”), with B. Riley Securities, Inc. (“B. Riley”), as sales agent, under an “at the market” offering program (the “ATM Program”), and market conditions, we expect to raise additional capital through the issuance of equity and/or debt securities in 2025, through the ATM Program or otherwise, which will result in additional dilution to our existing stockholders and may negatively impact the market price of our common stock. Similarly, if we draw on the Delayed Draw Term Loan Facility under our Loan and Security Agreement and the Lenders exercise their Warrants pursuant to the Warrant Agreement, the resulting issuance of our common stock to such Lenders would have a dilutive effect on our current stockholders and could negatively affect the trading price of our common stock. Any issuance of equity or debt securities may be for cash or in exchange for our outstanding Notes, which could have a highly dilutive effect on current stockholders and could negatively affect the trading price of our common stock. In addition to resulting in additional dilution to our existing stockholders or negatively affecting the trading price of our common stock, any such potential financings may result in the imposition of security interests on our assets, debt covenants and repayment obligations, or other restrictions that may adversely affect our business. For example, the Loan and Security Agreement contains covenants that restrict our ability to engage in certain transactions and could limit our ability to raise additional financing. See </w:t>
      </w:r>
      <w:r>
        <w:rPr>
          <w:rFonts w:ascii="Arial" w:cs="Arial" w:eastAsia="Arial" w:hAnsi="Arial"/>
          <w:sz w:val="18"/>
          <w:szCs w:val="18"/>
          <w:u w:val="single" w:color="auto"/>
          <w:color w:val="0000FF"/>
        </w:rPr>
        <w:t>Note 14</w:t>
      </w:r>
      <w:r>
        <w:rPr>
          <w:rFonts w:ascii="Arial" w:cs="Arial" w:eastAsia="Arial" w:hAnsi="Arial"/>
          <w:sz w:val="18"/>
          <w:szCs w:val="18"/>
          <w:color w:val="auto"/>
        </w:rPr>
        <w:t xml:space="preserve">, </w:t>
      </w:r>
      <w:r>
        <w:rPr>
          <w:rFonts w:ascii="Arial" w:cs="Arial" w:eastAsia="Arial" w:hAnsi="Arial"/>
          <w:sz w:val="18"/>
          <w:szCs w:val="18"/>
          <w:i w:val="1"/>
          <w:iCs w:val="1"/>
          <w:color w:val="auto"/>
        </w:rPr>
        <w:t>Subsequent Event</w:t>
      </w:r>
      <w:r>
        <w:rPr>
          <w:rFonts w:ascii="Arial" w:cs="Arial" w:eastAsia="Arial" w:hAnsi="Arial"/>
          <w:sz w:val="18"/>
          <w:szCs w:val="18"/>
          <w:color w:val="auto"/>
        </w:rPr>
        <w: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11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Notes to Unaudited Condensed Consolidated Financial Statements included elsewhere in this report. Furthermore, any securities issued pursuant to potential financings may include rights that are senior to our shares of common stock. In addition, the capital markets may experience extreme volatility and disruption, including high interest rates in certain geographic regions and higher borrowing costs, which could adversely affect our liquidity and financial condition, including our ability to access the capital markets to raise capital and meet liquidity needs. We may be unable to raise additional capital for reasons including, without limitation, our operational and/or financial performance, investor confidence in us and the plant-based meat industry, credit availability from banks and other financial institutions and the status of current projects. We cannot assure you that we will be able to successfully raise additional funds for the amounts needed or when needed, or on terms commercially acceptable, if at all. Our inability to raise required capital in the future would have a material adverse effect on our business, financial condition and results of operations.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future capital requirements may vary materially from those currently planned and will depend on many factors, including, among others:</w:t>
      </w:r>
    </w:p>
    <w:p>
      <w:pPr>
        <w:spacing w:after="0" w:line="189" w:lineRule="exact"/>
        <w:rPr>
          <w:sz w:val="20"/>
          <w:szCs w:val="20"/>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demand in the plant-based meat category and for our products, which has continued to decline;</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rate of revenue generation;</w:t>
      </w:r>
    </w:p>
    <w:p>
      <w:pPr>
        <w:spacing w:after="0" w:line="177" w:lineRule="exact"/>
        <w:rPr>
          <w:rFonts w:ascii="Arial" w:cs="Arial" w:eastAsia="Arial" w:hAnsi="Arial"/>
          <w:sz w:val="18"/>
          <w:szCs w:val="18"/>
          <w:color w:val="auto"/>
        </w:rPr>
      </w:pPr>
    </w:p>
    <w:p>
      <w:pPr>
        <w:ind w:left="640" w:right="200" w:hanging="316"/>
        <w:spacing w:after="0" w:line="290"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results of our Global Operations Review and the successful implementation of our ongoing cost-reduction initiatives, including the suspension of our operational activities in China in the first quarter of 2025;</w:t>
      </w:r>
    </w:p>
    <w:p>
      <w:pPr>
        <w:spacing w:after="0" w:line="96"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 of economic and political conditions in the U.S. and international markets on our business;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timing to adjust our supply chain and cost structure in response to material fluctuations in product demand;</w:t>
      </w:r>
    </w:p>
    <w:p>
      <w:pPr>
        <w:spacing w:after="0" w:line="177" w:lineRule="exact"/>
        <w:rPr>
          <w:rFonts w:ascii="Arial" w:cs="Arial" w:eastAsia="Arial" w:hAnsi="Arial"/>
          <w:sz w:val="18"/>
          <w:szCs w:val="18"/>
          <w:color w:val="auto"/>
        </w:rPr>
      </w:pPr>
    </w:p>
    <w:p>
      <w:pPr>
        <w:ind w:left="640" w:right="200" w:hanging="316"/>
        <w:spacing w:after="0" w:line="274"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number and characteristics of any additional products or manufacturing processes we develop or acquire to serve new or existing markets;</w:t>
      </w:r>
    </w:p>
    <w:p>
      <w:pPr>
        <w:spacing w:after="0" w:line="123" w:lineRule="exact"/>
        <w:rPr>
          <w:rFonts w:ascii="Arial" w:cs="Arial" w:eastAsia="Arial" w:hAnsi="Arial"/>
          <w:sz w:val="18"/>
          <w:szCs w:val="18"/>
          <w:color w:val="auto"/>
        </w:rPr>
      </w:pPr>
    </w:p>
    <w:p>
      <w:pPr>
        <w:ind w:left="640" w:right="40" w:hanging="316"/>
        <w:spacing w:after="0" w:line="304" w:lineRule="auto"/>
        <w:tabs>
          <w:tab w:leader="none" w:pos="635"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investment in and build out of our Campus Headquarters, including the timing and success of subleasing, assigning or otherwise transferring excess space or negotiating a partial lease termination at our Campus Headquarters on terms advantageous to us or at all;</w:t>
      </w:r>
    </w:p>
    <w:p>
      <w:pPr>
        <w:spacing w:after="0" w:line="101" w:lineRule="exact"/>
        <w:rPr>
          <w:rFonts w:ascii="Arial" w:cs="Arial" w:eastAsia="Arial" w:hAnsi="Arial"/>
          <w:sz w:val="17"/>
          <w:szCs w:val="17"/>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success of, and expenses associated with, our marketing initiatives;</w:t>
      </w:r>
    </w:p>
    <w:p>
      <w:pPr>
        <w:spacing w:after="0" w:line="177" w:lineRule="exact"/>
        <w:rPr>
          <w:rFonts w:ascii="Arial" w:cs="Arial" w:eastAsia="Arial" w:hAnsi="Arial"/>
          <w:sz w:val="18"/>
          <w:szCs w:val="18"/>
          <w:color w:val="auto"/>
        </w:rPr>
      </w:pPr>
    </w:p>
    <w:p>
      <w:pPr>
        <w:ind w:left="640" w:right="300" w:hanging="316"/>
        <w:spacing w:after="0" w:line="274"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investment in manufacturing and facilities to optimize our manufacturing and production capacity, including underutilization fees, termination fees and exit costs;</w:t>
      </w:r>
    </w:p>
    <w:p>
      <w:pPr>
        <w:spacing w:after="0" w:line="123"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investments in real property;</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costs required to fund domestic and international operations and growth;</w:t>
      </w:r>
    </w:p>
    <w:p>
      <w:pPr>
        <w:spacing w:after="0" w:line="164" w:lineRule="exact"/>
        <w:rPr>
          <w:rFonts w:ascii="Arial" w:cs="Arial" w:eastAsia="Arial" w:hAnsi="Arial"/>
          <w:sz w:val="18"/>
          <w:szCs w:val="18"/>
          <w:color w:val="auto"/>
        </w:rPr>
      </w:pPr>
    </w:p>
    <w:p>
      <w:pPr>
        <w:ind w:left="640" w:right="820" w:hanging="316"/>
        <w:spacing w:after="0" w:line="290"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future products or improvements to existing products or manufacturing processes;</w:t>
      </w:r>
    </w:p>
    <w:p>
      <w:pPr>
        <w:spacing w:after="0" w:line="109" w:lineRule="exact"/>
        <w:rPr>
          <w:rFonts w:ascii="Arial" w:cs="Arial" w:eastAsia="Arial" w:hAnsi="Arial"/>
          <w:sz w:val="18"/>
          <w:szCs w:val="18"/>
          <w:color w:val="auto"/>
        </w:rPr>
      </w:pPr>
    </w:p>
    <w:p>
      <w:pPr>
        <w:ind w:left="640" w:right="160" w:hanging="316"/>
        <w:spacing w:after="0" w:line="274"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lawsuits related to our products or commenced against us, including the class actions brought against us or the derivative actions brought against certain of our current and former directors and officers;</w:t>
      </w:r>
    </w:p>
    <w:p>
      <w:pPr>
        <w:spacing w:after="0" w:line="123"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expenses needed to attract and retain skilled personnel;</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variations in product selling prices and costs;</w:t>
      </w:r>
    </w:p>
    <w:p>
      <w:pPr>
        <w:spacing w:after="0" w:line="164" w:lineRule="exact"/>
        <w:rPr>
          <w:rFonts w:ascii="Arial" w:cs="Arial" w:eastAsia="Arial" w:hAnsi="Arial"/>
          <w:sz w:val="18"/>
          <w:szCs w:val="18"/>
          <w:color w:val="auto"/>
        </w:rPr>
      </w:pPr>
    </w:p>
    <w:p>
      <w:pPr>
        <w:ind w:left="640" w:hanging="31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timing and success of changes to our pricing architecture within certain channels, and the mix of products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1" w:name="page82"/>
    <w:bookmarkEnd w:id="81"/>
    <w:p>
      <w:pPr>
        <w:spacing w:after="0" w:line="114" w:lineRule="exact"/>
        <w:rPr>
          <w:sz w:val="20"/>
          <w:szCs w:val="20"/>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level of trade and promotional spending to support our products appropriately;</w:t>
      </w:r>
    </w:p>
    <w:p>
      <w:pPr>
        <w:spacing w:after="0" w:line="177" w:lineRule="exact"/>
        <w:rPr>
          <w:rFonts w:ascii="Arial" w:cs="Arial" w:eastAsia="Arial" w:hAnsi="Arial"/>
          <w:sz w:val="18"/>
          <w:szCs w:val="18"/>
          <w:color w:val="auto"/>
        </w:rPr>
      </w:pPr>
    </w:p>
    <w:p>
      <w:pPr>
        <w:ind w:left="640" w:right="120" w:hanging="316"/>
        <w:spacing w:after="0" w:line="274"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expenses associated with our sales force; our management of accounts receivable, inventory, accounts payable and other working capital accounts;</w:t>
      </w:r>
    </w:p>
    <w:p>
      <w:pPr>
        <w:spacing w:after="0" w:line="123"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impact of foreign currency exchange fluctuations on our cash balances;</w:t>
      </w:r>
    </w:p>
    <w:p>
      <w:pPr>
        <w:spacing w:after="0" w:line="177"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164" w:lineRule="exact"/>
        <w:rPr>
          <w:rFonts w:ascii="Arial" w:cs="Arial" w:eastAsia="Arial" w:hAnsi="Arial"/>
          <w:sz w:val="18"/>
          <w:szCs w:val="18"/>
          <w:color w:val="auto"/>
        </w:rPr>
      </w:pPr>
    </w:p>
    <w:p>
      <w:pPr>
        <w:ind w:left="640" w:right="120" w:hanging="316"/>
        <w:spacing w:after="0" w:line="290"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intellectual property claims, including litigation costs and the outcome of such litigation; and</w:t>
      </w:r>
    </w:p>
    <w:p>
      <w:pPr>
        <w:spacing w:after="0" w:line="109" w:lineRule="exact"/>
        <w:rPr>
          <w:rFonts w:ascii="Arial" w:cs="Arial" w:eastAsia="Arial" w:hAnsi="Arial"/>
          <w:sz w:val="18"/>
          <w:szCs w:val="18"/>
          <w:color w:val="auto"/>
        </w:rPr>
      </w:pPr>
    </w:p>
    <w:p>
      <w:pPr>
        <w:ind w:left="640" w:hanging="316"/>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any future approved products, if any.</w:t>
      </w:r>
    </w:p>
    <w:p>
      <w:pPr>
        <w:spacing w:after="0" w:line="151" w:lineRule="exact"/>
        <w:rPr>
          <w:sz w:val="20"/>
          <w:szCs w:val="20"/>
          <w:color w:val="auto"/>
        </w:rPr>
      </w:pPr>
    </w:p>
    <w:p>
      <w:pPr>
        <w:ind w:right="160" w:firstLine="318"/>
        <w:spacing w:after="0" w:line="259" w:lineRule="auto"/>
        <w:rPr>
          <w:sz w:val="20"/>
          <w:szCs w:val="20"/>
          <w:color w:val="auto"/>
        </w:rPr>
      </w:pPr>
      <w:r>
        <w:rPr>
          <w:rFonts w:ascii="Arial" w:cs="Arial" w:eastAsia="Arial" w:hAnsi="Arial"/>
          <w:sz w:val="18"/>
          <w:szCs w:val="18"/>
          <w:color w:val="auto"/>
        </w:rPr>
        <w:t>Additional funds may not be available when we need them, on terms that are favorable or acceptable to us, or at all. If adequate funds are not available to us on a timely basis, we may be required to:</w:t>
      </w:r>
    </w:p>
    <w:p>
      <w:pPr>
        <w:spacing w:after="0" w:line="123" w:lineRule="exact"/>
        <w:rPr>
          <w:sz w:val="20"/>
          <w:szCs w:val="20"/>
          <w:color w:val="auto"/>
        </w:rPr>
      </w:pPr>
    </w:p>
    <w:p>
      <w:pPr>
        <w:ind w:left="640" w:hanging="31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 limit, reduce or terminate our manufacturing, research and development activities; or</w:t>
      </w:r>
    </w:p>
    <w:p>
      <w:pPr>
        <w:spacing w:after="0" w:line="177" w:lineRule="exact"/>
        <w:rPr>
          <w:rFonts w:ascii="Arial" w:cs="Arial" w:eastAsia="Arial" w:hAnsi="Arial"/>
          <w:sz w:val="18"/>
          <w:szCs w:val="18"/>
          <w:color w:val="auto"/>
        </w:rPr>
      </w:pPr>
    </w:p>
    <w:p>
      <w:pPr>
        <w:ind w:left="640" w:right="560" w:hanging="316"/>
        <w:spacing w:after="0" w:line="274"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 limit, reduce or terminate our establishment of sales and marketing capabilities or other activities that may be necessary to generate revenue and achieve profitability.</w:t>
      </w:r>
    </w:p>
    <w:p>
      <w:pPr>
        <w:spacing w:after="0" w:line="124" w:lineRule="exact"/>
        <w:rPr>
          <w:sz w:val="20"/>
          <w:szCs w:val="20"/>
          <w:color w:val="auto"/>
        </w:rPr>
      </w:pPr>
    </w:p>
    <w:p>
      <w:pPr>
        <w:ind w:right="60" w:firstLine="318"/>
        <w:spacing w:after="0" w:line="264" w:lineRule="auto"/>
        <w:rPr>
          <w:sz w:val="20"/>
          <w:szCs w:val="20"/>
          <w:color w:val="auto"/>
        </w:rPr>
      </w:pPr>
      <w:r>
        <w:rPr>
          <w:rFonts w:ascii="Arial" w:cs="Arial" w:eastAsia="Arial" w:hAnsi="Arial"/>
          <w:sz w:val="18"/>
          <w:szCs w:val="18"/>
          <w:color w:val="auto"/>
        </w:rPr>
        <w:t>There can be no assurance that we will be able to achieve our business plan objectives or be able to achieve and/or sustain our profitability and financial performance objectives. If we are unable to generate adequate funds from operations and/or raise sufficient additional funds, we may not be able to repay our existing debt, including the Notes, continue to operate our business, respond to competitive pressures or fund our operations. As a result, we may be required to significantly reduce, reorganize, discontinue or shut down our operations. Any such failure could also cause us to become insolvent or enter bankruptcy proceedings.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and Legal Compliance Matters, Litigation and Legal Proceedings</w:t>
      </w:r>
    </w:p>
    <w:p>
      <w:pPr>
        <w:spacing w:after="0" w:line="16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Any changes in, or changes in the interpretation of, applicable laws, regulations or policies of the FDA or U.S. Department of Agriculture (the “USDA”), state regulators or similar foreign regulatory authorities that relate to the use of the word “meat” or other similar words in connection with plant-based meat products could adversely affect our business, prospects, results of operations or financial condition.</w:t>
      </w:r>
    </w:p>
    <w:p>
      <w:pPr>
        <w:spacing w:after="0" w:line="114"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The FDA and the USDA, state regulators or similar foreign regulatory authorities, such as Health Canada or the CFIA, or authorities of the U.K., the EU or the EU member states, or China, including the State Administration for Market Regulation and its local counterpart agencies, could take action to impact our ability to use the term “meat” or similar words (such as “beef,” “burger” or “sausage,” including the Beyond Meat logo of the Caped Longhorn superhero) to describe or advertise our products. In addition, a food may be deemed misbranded if its labeling is false or misleading in any particular way, and the FDA, CFIA, EU member state authorities or other regulators could interpret the use of the term “meat” or any similar phrase(s) to describe our plant-based meat products as false or misleading or likely to create an erroneous impression regarding their composition.</w:t>
      </w:r>
    </w:p>
    <w:p>
      <w:pPr>
        <w:spacing w:after="0" w:line="140" w:lineRule="exact"/>
        <w:rPr>
          <w:sz w:val="20"/>
          <w:szCs w:val="20"/>
          <w:color w:val="auto"/>
        </w:rPr>
      </w:pPr>
    </w:p>
    <w:p>
      <w:pPr>
        <w:ind w:right="20" w:firstLine="318"/>
        <w:spacing w:after="0" w:line="259" w:lineRule="auto"/>
        <w:rPr>
          <w:sz w:val="20"/>
          <w:szCs w:val="20"/>
          <w:color w:val="auto"/>
        </w:rPr>
      </w:pPr>
      <w:r>
        <w:rPr>
          <w:rFonts w:ascii="Arial" w:cs="Arial" w:eastAsia="Arial" w:hAnsi="Arial"/>
          <w:sz w:val="18"/>
          <w:szCs w:val="18"/>
          <w:color w:val="auto"/>
        </w:rPr>
        <w:t>For example, the state of Missouri prohibits any person engaged in advertising, offering for sale, or sale of food products from misrepresenting a product as meat that is not derived from harvested production livestock or poultry. The state of Missouri Department of Agriculture has clarified its interpretation that products which include prominent disclosure that the product is “made from plants,” or comparable disclosure such as through the use of the phrase “plant-based,” are not misrepresented under the Missouri law. Additional states, including Arkansas, Georgia, Mississippi, Louisiana, Oklahoma, South Dakota, Texas and Wyoming, have subsequently passed similar laws, and legislation that would impose specific requirements on the naming of plant-based meat products has been introduced, but not enacted, in other states. The United States Congress considered (but did not pass) federal legislation, called the Real MEAT Act, that could require changes to our product labeling and marketing, including identifying products as “imitation” meat products, and that would give USDA certain oversight over the labeling of plant-based meat products. If similar bills gain traction and ultimately become law,</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14" w:lineRule="exact"/>
        <w:rPr>
          <w:sz w:val="20"/>
          <w:szCs w:val="20"/>
          <w:color w:val="auto"/>
        </w:rPr>
      </w:pPr>
    </w:p>
    <w:p>
      <w:pPr>
        <w:ind w:right="180"/>
        <w:spacing w:after="0" w:line="265" w:lineRule="auto"/>
        <w:rPr>
          <w:sz w:val="20"/>
          <w:szCs w:val="20"/>
          <w:color w:val="auto"/>
        </w:rPr>
      </w:pPr>
      <w:r>
        <w:rPr>
          <w:rFonts w:ascii="Arial" w:cs="Arial" w:eastAsia="Arial" w:hAnsi="Arial"/>
          <w:sz w:val="18"/>
          <w:szCs w:val="18"/>
          <w:color w:val="auto"/>
        </w:rPr>
        <w:t>we could be required to identify our products as “imitation” on our product labels. Further, the FDA recently issued draft guidance on naming plant-based meat alternatives that could impact our naming conventions on various products; while not binding, the guidance, when finalized, will reflect the FDA’s current thinking and expectations. Canadian Food and Drug Regulations also provide requirements for “simulated meat” products, including requirements around composition and naming.</w:t>
      </w:r>
    </w:p>
    <w:p>
      <w:pPr>
        <w:spacing w:after="0" w:line="133" w:lineRule="exact"/>
        <w:rPr>
          <w:sz w:val="20"/>
          <w:szCs w:val="20"/>
          <w:color w:val="auto"/>
        </w:rPr>
      </w:pPr>
    </w:p>
    <w:p>
      <w:pPr>
        <w:ind w:right="100" w:firstLine="318"/>
        <w:spacing w:after="0" w:line="273" w:lineRule="auto"/>
        <w:rPr>
          <w:sz w:val="20"/>
          <w:szCs w:val="20"/>
          <w:color w:val="auto"/>
        </w:rPr>
      </w:pPr>
      <w:r>
        <w:rPr>
          <w:rFonts w:ascii="Arial" w:cs="Arial" w:eastAsia="Arial" w:hAnsi="Arial"/>
          <w:sz w:val="17"/>
          <w:szCs w:val="17"/>
          <w:color w:val="auto"/>
        </w:rPr>
        <w:t>In Europe, the Agriculture Committee of the European Parliament proposed in May 2019 to reserve the use of “meat” and meat-related terms and names for products that are manufactured from the edible parts of animals. In October 2020, the European Parliament rejected the adoption of this provision. In the absence of European Union legislation, it was unclear whether member states remained free to establish national restrictions on meat-related names. In June 2020, France adopted a law prohibiting names to indicate foodstuffs of animal origin to describe, market or promote foodstuffs containing vegetable proteins. In October 2021, France published a draft implementing decree (the “Contested Decree”) to define, for example, the sanctions in case of non-compliance with the new law, and the Contested Decree went into effect in 2022. At the time, the Company took the view that the Contested Decree did not comply with the laws of the EU, in particular the principle of free movement of goods. In July 2022, at the request of a trade association, the French High Administrative Court partially suspended the execution of the Contested Decree. The Company filed an application for annulment against the Contested Decree and intervened in favor of the trade association in their pending case against the Contested Decree. Several plant-based companies filed voluntary intervention in support of the Company’s case on April 20, 2023. On July 12, 2023, the French High Administrative Court decided to refer the case to the CJEU. The CJEU was asked to decide on the lawfulness of the Contested Decree banning “meaty” names for plant-based protein under EU law. The procedure before the CJEU started on August 22, 2023, and the Company filed its submission on October 31, 2023. On January 15, 2024, the CJEU closed the written procedure. The period to request an oral hearing closed on February 5, 2024.</w:t>
      </w:r>
    </w:p>
    <w:p>
      <w:pPr>
        <w:spacing w:after="0" w:line="133" w:lineRule="exact"/>
        <w:rPr>
          <w:sz w:val="20"/>
          <w:szCs w:val="20"/>
          <w:color w:val="auto"/>
        </w:rPr>
      </w:pPr>
    </w:p>
    <w:p>
      <w:pPr>
        <w:ind w:right="20" w:firstLine="318"/>
        <w:spacing w:after="0" w:line="258" w:lineRule="auto"/>
        <w:rPr>
          <w:sz w:val="20"/>
          <w:szCs w:val="20"/>
          <w:color w:val="auto"/>
        </w:rPr>
      </w:pPr>
      <w:r>
        <w:rPr>
          <w:rFonts w:ascii="Arial" w:cs="Arial" w:eastAsia="Arial" w:hAnsi="Arial"/>
          <w:sz w:val="18"/>
          <w:szCs w:val="18"/>
          <w:color w:val="auto"/>
        </w:rPr>
        <w:t>In parallel to the litigation before the CJEU against the Contested Decree, on August 23, 2023, France published a proposal for a new decree replacing the Contested Decree (the “New Decree”). The New Decree removed some of the Contested Decree’s most open-ended language, but essentially maintained the prohibition on meaty names for plant-based proteins. The New Decree was subject to administrative review procedure by the European Commission (the EU’s executive body) and the EU member states other than France. The six-months standstill period under that procedure ended on February 23, 2024. The Company supported plant-based protein trade associations against the New Decree. On February 26, 2024, the New Decree was adopted. However, on April 10, 2024, the French High Administrative Court decided once again to postpone the applicability of the New Decree. The interim relief judge noted that there were serious doubts as to whether such national measures could be adopted based on EU law, which had already prompted the CJEU litigation.</w:t>
      </w:r>
    </w:p>
    <w:p>
      <w:pPr>
        <w:spacing w:after="0" w:line="141" w:lineRule="exact"/>
        <w:rPr>
          <w:sz w:val="20"/>
          <w:szCs w:val="20"/>
          <w:color w:val="auto"/>
        </w:rPr>
      </w:pPr>
    </w:p>
    <w:p>
      <w:pPr>
        <w:ind w:firstLine="318"/>
        <w:spacing w:after="0" w:line="264" w:lineRule="auto"/>
        <w:rPr>
          <w:sz w:val="20"/>
          <w:szCs w:val="20"/>
          <w:color w:val="auto"/>
        </w:rPr>
      </w:pPr>
      <w:r>
        <w:rPr>
          <w:rFonts w:ascii="Arial" w:cs="Arial" w:eastAsia="Arial" w:hAnsi="Arial"/>
          <w:sz w:val="18"/>
          <w:szCs w:val="18"/>
          <w:color w:val="auto"/>
        </w:rPr>
        <w:t>In this context, on March 1, 2024, the CJEU requested the French High Administrative Court to provide its view on the impact of the adoption of the New Decree on the litigation against the Contested Decree, and whether it should be declared moot or it should be allowed to proceed. On March 14, 2024, the French High Administrative Court responded to the CJEU's request for information asking it to rule in the proceedings. On April 15, 2024, the CJEU decided that the litigation against the Contested Decree would proceed, and that an oral hearing was not necessary. On October 4, 2024, the CJEU rendered its judgment.</w:t>
      </w:r>
    </w:p>
    <w:p>
      <w:pPr>
        <w:spacing w:after="0" w:line="120" w:lineRule="exact"/>
        <w:rPr>
          <w:sz w:val="20"/>
          <w:szCs w:val="20"/>
          <w:color w:val="auto"/>
        </w:rPr>
      </w:pPr>
    </w:p>
    <w:p>
      <w:pPr>
        <w:ind w:right="160" w:firstLine="318"/>
        <w:spacing w:after="0" w:line="278" w:lineRule="auto"/>
        <w:rPr>
          <w:sz w:val="20"/>
          <w:szCs w:val="20"/>
          <w:color w:val="auto"/>
        </w:rPr>
      </w:pPr>
      <w:r>
        <w:rPr>
          <w:rFonts w:ascii="Arial" w:cs="Arial" w:eastAsia="Arial" w:hAnsi="Arial"/>
          <w:sz w:val="17"/>
          <w:szCs w:val="17"/>
          <w:color w:val="auto"/>
        </w:rPr>
        <w:t>The judgment of the CJEU determined that the manner in which the Contested Decree seeks to ban meat names for plant-based foods is unlawful under EU law. It sets a precedent on the extent to which EU member states may regulate the naming of plant-based foods at the national level in the absence of harmonization at the EU level. In its judgment, the CJEU also ruled that “meat” is defined under EU law as “edible parts of certain animals.” The Company is taking the view that the CJEU’s interpretation only affects the use of the term in the sales denomination on the label and not the use of the term in marketing and advertising materials. Following the CJEU’s judgment, the case was referred to the French High Administrative Court, which, on January 28, 2025, annulled the Contested Decree and the New Decree. Beyond Meat will be reimbursed by the French State for legal costs incurred in challenging the Contested Decree, for a total of 3,000 euros.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3" w:name="page84"/>
    <w:bookmarkEnd w:id="83"/>
    <w:p>
      <w:pPr>
        <w:spacing w:after="0" w:line="114"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France was the first EU member state to adopt such a law, but others followed. On December 16, 2023, an Italian law prohibiting names to indicate foodstuffs of animal origin to describe, market or promote foodstuffs containing vegetable proteins (“Italian Law”) entered into force. The Italian Law requires the Ministry of Agriculture to adopt a decree with the names that may not be used to describe plant-based products by February 16, 2024. However, on January 29, 2024, the European Commission issued a formal letter informing the Italian government that the Italian Law was adopted in violation of EU law, and is thus not applicable or enforceable. On February 28, 2024, the Italian Minister for Agriculture confirmed that the adoption of an implementing decree is currently suspended. We are not aware of any steps taken by the Italian government to adopt the implementing decree, nor have the authorities attempted to enforce the Italian Law. The judgment of the CJEU concerning the French ban will likely affect the approach taken by Italy in the future.</w:t>
      </w:r>
    </w:p>
    <w:p>
      <w:pPr>
        <w:spacing w:after="0" w:line="127" w:lineRule="exact"/>
        <w:rPr>
          <w:sz w:val="20"/>
          <w:szCs w:val="20"/>
          <w:color w:val="auto"/>
        </w:rPr>
      </w:pPr>
    </w:p>
    <w:p>
      <w:pPr>
        <w:ind w:right="20" w:firstLine="318"/>
        <w:spacing w:after="0" w:line="265" w:lineRule="auto"/>
        <w:rPr>
          <w:sz w:val="20"/>
          <w:szCs w:val="20"/>
          <w:color w:val="auto"/>
        </w:rPr>
      </w:pPr>
      <w:r>
        <w:rPr>
          <w:rFonts w:ascii="Arial" w:cs="Arial" w:eastAsia="Arial" w:hAnsi="Arial"/>
          <w:sz w:val="18"/>
          <w:szCs w:val="18"/>
          <w:color w:val="auto"/>
        </w:rPr>
        <w:t>Separately, on December 5, 2023, Poland published a draft decree banning the use of meaty names to designate plant-based products. We are not aware of any additional developments in the legislative process. In June 2024, a Polish association of breeders requested that the Ministry of Agriculture advance the decree and regulate the use of meaty names. The judgment of the CJEU concerning the French ban will likely affect the approach taken by Poland in the future.</w:t>
      </w:r>
    </w:p>
    <w:p>
      <w:pPr>
        <w:spacing w:after="0" w:line="133" w:lineRule="exact"/>
        <w:rPr>
          <w:sz w:val="20"/>
          <w:szCs w:val="20"/>
          <w:color w:val="auto"/>
        </w:rPr>
      </w:pPr>
    </w:p>
    <w:p>
      <w:pPr>
        <w:ind w:right="80" w:firstLine="318"/>
        <w:spacing w:after="0" w:line="265" w:lineRule="auto"/>
        <w:rPr>
          <w:sz w:val="20"/>
          <w:szCs w:val="20"/>
          <w:color w:val="auto"/>
        </w:rPr>
      </w:pPr>
      <w:r>
        <w:rPr>
          <w:rFonts w:ascii="Arial" w:cs="Arial" w:eastAsia="Arial" w:hAnsi="Arial"/>
          <w:sz w:val="18"/>
          <w:szCs w:val="18"/>
          <w:color w:val="auto"/>
        </w:rPr>
        <w:t>The CJEU judgment has provided clarification on the ability of EU member states to adopt national legislation with respect to sales denominations for plant-based products in the absence of harmonization at the EU level. EU member states may reflect on the CJEU judgment and take a position on whether to adopt national measures. Such measures could affect our ability to use certain terms for our plant-based products in the future.</w:t>
      </w:r>
    </w:p>
    <w:p>
      <w:pPr>
        <w:spacing w:after="0" w:line="133" w:lineRule="exact"/>
        <w:rPr>
          <w:sz w:val="20"/>
          <w:szCs w:val="20"/>
          <w:color w:val="auto"/>
        </w:rPr>
      </w:pPr>
    </w:p>
    <w:p>
      <w:pPr>
        <w:ind w:right="60" w:firstLine="318"/>
        <w:spacing w:after="0" w:line="260" w:lineRule="auto"/>
        <w:rPr>
          <w:sz w:val="20"/>
          <w:szCs w:val="20"/>
          <w:color w:val="auto"/>
        </w:rPr>
      </w:pPr>
      <w:r>
        <w:rPr>
          <w:rFonts w:ascii="Arial" w:cs="Arial" w:eastAsia="Arial" w:hAnsi="Arial"/>
          <w:sz w:val="18"/>
          <w:szCs w:val="18"/>
          <w:color w:val="auto"/>
        </w:rPr>
        <w:t>Moreover, in light of the CJEU judgment, EU member state regulatory authorities may take action with respect to the use of the term “meat” or similar terms in advertising materials and other labeling (beyond the sales denomination), such that we are unable to use those terms with respect to our plant-based products, we could be subject to enforcement action or recall of our products marketed with these terms, we may be required to modify our marketing strategy, or required to identify our products as “imitation” in our product labels, and our business, prospects, results of operations or financial condition could be adversely affected.</w:t>
      </w:r>
    </w:p>
    <w:p>
      <w:pPr>
        <w:spacing w:after="0" w:line="138" w:lineRule="exact"/>
        <w:rPr>
          <w:sz w:val="20"/>
          <w:szCs w:val="20"/>
          <w:color w:val="auto"/>
        </w:rPr>
      </w:pPr>
    </w:p>
    <w:p>
      <w:pPr>
        <w:ind w:right="260" w:firstLine="318"/>
        <w:spacing w:after="0" w:line="260" w:lineRule="auto"/>
        <w:rPr>
          <w:sz w:val="20"/>
          <w:szCs w:val="20"/>
          <w:color w:val="auto"/>
        </w:rPr>
      </w:pPr>
      <w:r>
        <w:rPr>
          <w:rFonts w:ascii="Arial" w:cs="Arial" w:eastAsia="Arial" w:hAnsi="Arial"/>
          <w:sz w:val="18"/>
          <w:szCs w:val="18"/>
          <w:color w:val="auto"/>
        </w:rPr>
        <w:t>For instance, the Belgian Inspectorate of the Ministry of Economy has recently taken the view that the Belgian Royal Decree of March 8, 1985 on the manufacture and trade of fresh minced meat restricts certain denominations to meat-based products. Belgian authorities have initiated proceedings against a retailer in Belgium selling Beyond Meat products, challenging the use of terms such as “gehakt” (“mince”) and “burger” for plant-based alternatives. The case is currently under review by the Belgian Food Safety Agency. While we believe the Company has a defendable position, as the Royal Decree does not specifically reserve these terms for meat-based products, we are monitoring the situation closely to assess any potential impact on product labeling and marketing.</w:t>
      </w:r>
    </w:p>
    <w:p>
      <w:pPr>
        <w:spacing w:after="0" w:line="139" w:lineRule="exact"/>
        <w:rPr>
          <w:sz w:val="20"/>
          <w:szCs w:val="20"/>
          <w:color w:val="auto"/>
        </w:rPr>
      </w:pPr>
    </w:p>
    <w:p>
      <w:pPr>
        <w:ind w:right="80" w:firstLine="318"/>
        <w:spacing w:after="0" w:line="260" w:lineRule="auto"/>
        <w:rPr>
          <w:sz w:val="20"/>
          <w:szCs w:val="20"/>
          <w:color w:val="auto"/>
        </w:rPr>
      </w:pPr>
      <w:r>
        <w:rPr>
          <w:rFonts w:ascii="Arial" w:cs="Arial" w:eastAsia="Arial" w:hAnsi="Arial"/>
          <w:sz w:val="18"/>
          <w:szCs w:val="18"/>
          <w:color w:val="auto"/>
        </w:rPr>
        <w:t>Developments have also occurred outside the EU. On May 2, 2025, the Swiss Federal Supreme Court upheld the appeal brought by the Federal Department of Home Affairs concerning the use of certain meaty names for plant-based alternatives. While the full text of the judgment is not yet available, the outcome and core reasoning have been made public. The court ruled that the use of the term “chicken” (“poulet”) for a plant-based product that does not contain any meat is misleading and, therefore, prohibited under Swiss law. In doing so, the court seems to confirm the position of the Federal Food Safety and Veterinary Office, as previously outlined in Information Letter 2020/3.1, which also prohibited the use of certain animal species names for plant-based products.</w:t>
      </w:r>
    </w:p>
    <w:p>
      <w:pPr>
        <w:spacing w:after="0" w:line="139" w:lineRule="exact"/>
        <w:rPr>
          <w:sz w:val="20"/>
          <w:szCs w:val="20"/>
          <w:color w:val="auto"/>
        </w:rPr>
      </w:pPr>
    </w:p>
    <w:p>
      <w:pPr>
        <w:ind w:right="700"/>
        <w:spacing w:after="0" w:line="286" w:lineRule="auto"/>
        <w:rPr>
          <w:sz w:val="20"/>
          <w:szCs w:val="20"/>
          <w:color w:val="auto"/>
        </w:rPr>
      </w:pPr>
      <w:r>
        <w:rPr>
          <w:rFonts w:ascii="Arial" w:cs="Arial" w:eastAsia="Arial" w:hAnsi="Arial"/>
          <w:sz w:val="18"/>
          <w:szCs w:val="18"/>
          <w:b w:val="1"/>
          <w:bCs w:val="1"/>
          <w:i w:val="1"/>
          <w:iCs w:val="1"/>
          <w:color w:val="auto"/>
        </w:rPr>
        <w:t>Litigation or other legal or regulatory proceedings could expose us to significant liabilities and have a negative impact on our reputation or business.</w:t>
      </w:r>
    </w:p>
    <w:p>
      <w:pPr>
        <w:spacing w:after="0" w:line="90"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Our business exposes us to significant potential risk from lawsuits, investigations, inquiries, examinations and other legal or regulatory</w:t>
      </w:r>
    </w:p>
    <w:p>
      <w:pPr>
        <w:spacing w:after="0" w:line="21"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proceedings. As a result, from time to time, we may be party to various claims and proceedings. We evaluate these claims and proceedings to assess the likelihood of unfavorable outcomes and to estimate, if possible, the amount of potential losses. Based on these assessments and estimates, we may</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14" w:lineRule="exact"/>
        <w:rPr>
          <w:sz w:val="20"/>
          <w:szCs w:val="20"/>
          <w:color w:val="auto"/>
        </w:rPr>
      </w:pPr>
    </w:p>
    <w:p>
      <w:pPr>
        <w:ind w:right="200"/>
        <w:spacing w:after="0" w:line="265" w:lineRule="auto"/>
        <w:rPr>
          <w:sz w:val="20"/>
          <w:szCs w:val="20"/>
          <w:color w:val="auto"/>
        </w:rPr>
      </w:pPr>
      <w:r>
        <w:rPr>
          <w:rFonts w:ascii="Arial" w:cs="Arial" w:eastAsia="Arial" w:hAnsi="Arial"/>
          <w:sz w:val="18"/>
          <w:szCs w:val="18"/>
          <w:color w:val="auto"/>
        </w:rPr>
        <w:t xml:space="preserve">establish reserves, as appropriate. These assessments and estimates are based on the information available to management at the time and involve a significant amount of management judgment. Actual outcomes or losses may differ materially from our assessments and estimates. For information regarding pending legal proceedings, please see Part II, </w:t>
      </w:r>
      <w:r>
        <w:rPr>
          <w:rFonts w:ascii="Arial" w:cs="Arial" w:eastAsia="Arial" w:hAnsi="Arial"/>
          <w:sz w:val="18"/>
          <w:szCs w:val="18"/>
          <w:u w:val="single" w:color="auto"/>
          <w:color w:val="0000FF"/>
        </w:rPr>
        <w:t>Item 1</w:t>
      </w:r>
      <w:r>
        <w:rPr>
          <w:rFonts w:ascii="Arial" w:cs="Arial" w:eastAsia="Arial" w:hAnsi="Arial"/>
          <w:sz w:val="18"/>
          <w:szCs w:val="18"/>
          <w:color w:val="auto"/>
        </w:rPr>
        <w:t xml:space="preserve">, </w:t>
      </w:r>
      <w:r>
        <w:rPr>
          <w:rFonts w:ascii="Arial" w:cs="Arial" w:eastAsia="Arial" w:hAnsi="Arial"/>
          <w:sz w:val="18"/>
          <w:szCs w:val="18"/>
          <w:i w:val="1"/>
          <w:iCs w:val="1"/>
          <w:color w:val="auto"/>
        </w:rPr>
        <w:t>Legal Proceedings,</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Note 9</w:t>
      </w:r>
      <w:r>
        <w:rPr>
          <w:rFonts w:ascii="Arial" w:cs="Arial" w:eastAsia="Arial" w:hAnsi="Arial"/>
          <w:sz w:val="18"/>
          <w:szCs w:val="18"/>
          <w:color w:val="auto"/>
        </w:rPr>
        <w:t xml:space="preserve">,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Contingencies</w:t>
      </w:r>
      <w:r>
        <w:rPr>
          <w:rFonts w:ascii="Arial" w:cs="Arial" w:eastAsia="Arial" w:hAnsi="Arial"/>
          <w:sz w:val="18"/>
          <w:szCs w:val="18"/>
          <w:color w:val="auto"/>
        </w:rPr>
        <w:t>, to the Notes to Unaudited Condensed Consolidated Financial Statements included elsewhere in this report.</w:t>
      </w:r>
    </w:p>
    <w:p>
      <w:pPr>
        <w:spacing w:after="0" w:line="133" w:lineRule="exact"/>
        <w:rPr>
          <w:sz w:val="20"/>
          <w:szCs w:val="20"/>
          <w:color w:val="auto"/>
        </w:rPr>
      </w:pPr>
    </w:p>
    <w:p>
      <w:pPr>
        <w:ind w:firstLine="318"/>
        <w:spacing w:after="0" w:line="260" w:lineRule="auto"/>
        <w:rPr>
          <w:sz w:val="20"/>
          <w:szCs w:val="20"/>
          <w:color w:val="auto"/>
        </w:rPr>
      </w:pPr>
      <w:r>
        <w:rPr>
          <w:rFonts w:ascii="Arial" w:cs="Arial" w:eastAsia="Arial" w:hAnsi="Arial"/>
          <w:sz w:val="18"/>
          <w:szCs w:val="18"/>
          <w:color w:val="auto"/>
        </w:rPr>
        <w:t>Even when not merited, the attention these lawsuits, investigations, examinations and other legal or regulatory proceedings require, and the defense of any lawsuits or other proceedings, may divert our management’s attention and may cause us to incur significant expenses. The results of such proceedings are inherently uncertain, and adverse judgments or settlements in some of these legal disputes may result in adverse monetary damages, penalties or injunctive relief against us, which could have a material adverse effect on our financial position, cash flows and results of operations. Any claims or litigation, even if fully indemnified or insured, could damage our reputation and make it more difficult to compete effectively or to obtain adequate insurance in the future.</w:t>
      </w:r>
    </w:p>
    <w:p>
      <w:pPr>
        <w:spacing w:after="0" w:line="139" w:lineRule="exact"/>
        <w:rPr>
          <w:sz w:val="20"/>
          <w:szCs w:val="20"/>
          <w:color w:val="auto"/>
        </w:rPr>
      </w:pPr>
    </w:p>
    <w:p>
      <w:pPr>
        <w:ind w:right="60" w:firstLine="318"/>
        <w:spacing w:after="0" w:line="265" w:lineRule="auto"/>
        <w:rPr>
          <w:sz w:val="20"/>
          <w:szCs w:val="20"/>
          <w:color w:val="auto"/>
        </w:rPr>
      </w:pPr>
      <w:r>
        <w:rPr>
          <w:rFonts w:ascii="Arial" w:cs="Arial" w:eastAsia="Arial" w:hAnsi="Arial"/>
          <w:sz w:val="18"/>
          <w:szCs w:val="18"/>
          <w:color w:val="auto"/>
        </w:rPr>
        <w:t>Furthermore, while we maintain insurance for certain potential liabilities, such insurance does not cover all types and amounts of potential liabilities and is subject to self-insured retentions, various exclusions as well as caps on amounts recoverable. Even if we believe a claim is covered by insurance, insurers may dispute our entitlement to recovery for a variety of potential reasons, which may affect the timing and, if the insurers prevail, the amount of our recovery.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or issuances of our common stock in the public market could cause our share price to fall.</w:t>
      </w:r>
    </w:p>
    <w:p>
      <w:pPr>
        <w:spacing w:after="0" w:line="164" w:lineRule="exact"/>
        <w:rPr>
          <w:sz w:val="20"/>
          <w:szCs w:val="20"/>
          <w:color w:val="auto"/>
        </w:rPr>
      </w:pPr>
    </w:p>
    <w:p>
      <w:pPr>
        <w:ind w:right="20" w:firstLine="318"/>
        <w:spacing w:after="0" w:line="260"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For example, we may sell additional shares of common stock in public or private offerings, or pursuant to our ATM Program, and may also sell securities convertible into common stock. In addition, 8,234,230 shares of our common stock are reserved for potential issuance upon the conversion of the Notes. On May 7, 2025, in connection with Loan and Security Agreement, we entered into the Warrant Agreement, under which the Lenders, as holders of the Warrants, have the right to purchase up to, in the aggregate, 9,558,635 shares of our common stock reserved for potential issuance upon the exercise of any Warrants.</w:t>
      </w:r>
    </w:p>
    <w:p>
      <w:pPr>
        <w:spacing w:after="0" w:line="139" w:lineRule="exact"/>
        <w:rPr>
          <w:sz w:val="20"/>
          <w:szCs w:val="20"/>
          <w:color w:val="auto"/>
        </w:rPr>
      </w:pPr>
    </w:p>
    <w:p>
      <w:pPr>
        <w:ind w:right="40" w:firstLine="318"/>
        <w:spacing w:after="0" w:line="257" w:lineRule="auto"/>
        <w:rPr>
          <w:sz w:val="20"/>
          <w:szCs w:val="20"/>
          <w:color w:val="auto"/>
        </w:rPr>
      </w:pPr>
      <w:r>
        <w:rPr>
          <w:rFonts w:ascii="Arial" w:cs="Arial" w:eastAsia="Arial" w:hAnsi="Arial"/>
          <w:sz w:val="18"/>
          <w:szCs w:val="18"/>
          <w:color w:val="auto"/>
        </w:rPr>
        <w:t xml:space="preserve">We expect to raise significant additional capital through the issuance of additional equity and/or debt securities, and/or incur other indebtedness, some or all of which may be secured, to continue to fund our operations and repay our indebtedness in the future. To continue bolstering and restructuring our balance sheet, subject to our compliance with applicable laws, the applicable requirements of the Loan and Security Agreement and our Equity Distribution Agreement with B. Riley, as sales agent, under the ATM Program, and market conditions, we expect to raise additional capital through the issuance of equity and/or debt securities in 2025, through the ATM Program or otherwise, which will result in additional dilution to our existing stockholders and may negatively impact the market price of our common stock. Any issuance of additional equity or debt securities may be for cash or in exchange for our outstanding Notes, which could have a highly dilutive effect on current stockholders and could negatively affect the trading price of our common stock. Similarly, if we draw on the Delayed Draw Term Loan Facility under our Loan and Security Agreement and the Lenders exercise their Warrants pursuant to the Warrant Agreement, the resulting issuance of our common stock to such Lenders would have a dilutive effect on our current stockholders and could negatively affect the trading price of our common stock. In addition to resulting in additional dilution to our existing stockholders or negatively affecting the trading price of our common stock, any such potential financings may result in the imposition of debt covenants and repayment obligations, or other restrictions that may adversely affect our business. For example, the Loan and Security Agreement contains covenants that restrict our ability to engage in certain transactions and could limit our ability to raise additional financing. See </w:t>
      </w:r>
      <w:r>
        <w:rPr>
          <w:rFonts w:ascii="Arial" w:cs="Arial" w:eastAsia="Arial" w:hAnsi="Arial"/>
          <w:sz w:val="18"/>
          <w:szCs w:val="18"/>
          <w:u w:val="single" w:color="auto"/>
          <w:color w:val="0000FF"/>
        </w:rPr>
        <w:t>Note 14</w:t>
      </w:r>
      <w:r>
        <w:rPr>
          <w:rFonts w:ascii="Arial" w:cs="Arial" w:eastAsia="Arial" w:hAnsi="Arial"/>
          <w:sz w:val="18"/>
          <w:szCs w:val="18"/>
          <w:color w:val="auto"/>
        </w:rPr>
        <w:t xml:space="preserve">, </w:t>
      </w:r>
      <w:r>
        <w:rPr>
          <w:rFonts w:ascii="Arial" w:cs="Arial" w:eastAsia="Arial" w:hAnsi="Arial"/>
          <w:sz w:val="18"/>
          <w:szCs w:val="18"/>
          <w:i w:val="1"/>
          <w:iCs w:val="1"/>
          <w:color w:val="auto"/>
        </w:rPr>
        <w:t>Subsequent Event</w:t>
      </w:r>
      <w:r>
        <w:rPr>
          <w:rFonts w:ascii="Arial" w:cs="Arial" w:eastAsia="Arial" w:hAnsi="Arial"/>
          <w:sz w:val="18"/>
          <w:szCs w:val="18"/>
          <w:color w:val="auto"/>
        </w:rPr>
        <w:t>, to the Notes to Unaudited Condensed Consolidated Financial Statements included elsewhere in this report. Furthermore, any securities issued pursuant to potential financings may include rights that are senior to our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5" w:name="page86"/>
    <w:bookmarkEnd w:id="85"/>
    <w:p>
      <w:pPr>
        <w:spacing w:after="0" w:line="114" w:lineRule="exact"/>
        <w:rPr>
          <w:sz w:val="20"/>
          <w:szCs w:val="20"/>
          <w:color w:val="auto"/>
        </w:rPr>
      </w:pPr>
    </w:p>
    <w:p>
      <w:pPr>
        <w:ind w:firstLine="318"/>
        <w:spacing w:after="0" w:line="265" w:lineRule="auto"/>
        <w:rPr>
          <w:sz w:val="20"/>
          <w:szCs w:val="20"/>
          <w:color w:val="auto"/>
        </w:rPr>
      </w:pPr>
      <w:r>
        <w:rPr>
          <w:rFonts w:ascii="Arial" w:cs="Arial" w:eastAsia="Arial" w:hAnsi="Arial"/>
          <w:sz w:val="18"/>
          <w:szCs w:val="18"/>
          <w:color w:val="auto"/>
        </w:rPr>
        <w:t>Sales of our common stock, by us or otherwise, or the perception in the market that the holders of a large number of shares of our common stock intend to sell shares, could reduce the market price of our common stock. We cannot predict the size of future sales or issuances of our common stock or securities convertible into our common stock or the effect, if any, that any such future sales or issuances will have on the market price of our common stock.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Rule 10b5-1 Trading Arrangements</w:t>
      </w:r>
    </w:p>
    <w:p>
      <w:pPr>
        <w:spacing w:after="0" w:line="177" w:lineRule="exact"/>
        <w:rPr>
          <w:sz w:val="20"/>
          <w:szCs w:val="20"/>
          <w:color w:val="auto"/>
        </w:rPr>
      </w:pPr>
    </w:p>
    <w:p>
      <w:pPr>
        <w:ind w:firstLine="318"/>
        <w:spacing w:after="0" w:line="275" w:lineRule="auto"/>
        <w:rPr>
          <w:sz w:val="20"/>
          <w:szCs w:val="20"/>
          <w:color w:val="auto"/>
        </w:rPr>
      </w:pPr>
      <w:r>
        <w:rPr>
          <w:rFonts w:ascii="Arial" w:cs="Arial" w:eastAsia="Arial" w:hAnsi="Arial"/>
          <w:sz w:val="18"/>
          <w:szCs w:val="18"/>
          <w:color w:val="auto"/>
        </w:rPr>
        <w:t>During the fiscal quarter ended March 29, 2025, none of our directors or executive officers of the Company adopted, modified or terminated any contract, instruction or written plan for the purchase or sale of Company securities that was intended to satisfy the affirmative defense conditions of Rule 10b5-1(c) under the Exchange Act or any “non-Rule 10b5-1 trading arrangement,” as such term is defined in Item 408(a) of Regulation S-K.</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77" w:lineRule="exact"/>
        <w:rPr>
          <w:sz w:val="20"/>
          <w:szCs w:val="20"/>
          <w:color w:val="auto"/>
        </w:rPr>
      </w:pPr>
    </w:p>
    <w:p>
      <w:pPr>
        <w:ind w:right="20" w:firstLine="318"/>
        <w:spacing w:after="0" w:line="283" w:lineRule="auto"/>
        <w:rPr>
          <w:sz w:val="20"/>
          <w:szCs w:val="20"/>
          <w:color w:val="auto"/>
        </w:rPr>
      </w:pPr>
      <w:r>
        <w:rPr>
          <w:rFonts w:ascii="Arial" w:cs="Arial" w:eastAsia="Arial" w:hAnsi="Arial"/>
          <w:sz w:val="18"/>
          <w:szCs w:val="18"/>
          <w:color w:val="auto"/>
        </w:rPr>
        <w:t>On May 6, 2025, our board of directors approved a new form of indemnification agreement (the “Indemnification Agreement”) to be entered into between the Company and each of our directors and certain officers. The Indemnification Agreement supersedes our previous form of indemnification agreement.</w:t>
      </w:r>
    </w:p>
    <w:p>
      <w:pPr>
        <w:spacing w:after="0" w:line="116" w:lineRule="exact"/>
        <w:rPr>
          <w:sz w:val="20"/>
          <w:szCs w:val="20"/>
          <w:color w:val="auto"/>
        </w:rPr>
      </w:pPr>
    </w:p>
    <w:p>
      <w:pPr>
        <w:ind w:right="280" w:firstLine="318"/>
        <w:spacing w:after="0" w:line="275" w:lineRule="auto"/>
        <w:rPr>
          <w:sz w:val="20"/>
          <w:szCs w:val="20"/>
          <w:color w:val="auto"/>
        </w:rPr>
      </w:pPr>
      <w:r>
        <w:rPr>
          <w:rFonts w:ascii="Arial" w:cs="Arial" w:eastAsia="Arial" w:hAnsi="Arial"/>
          <w:sz w:val="18"/>
          <w:szCs w:val="18"/>
          <w:color w:val="auto"/>
        </w:rPr>
        <w:t>The Indemnification Agreement provides, among other things, that the Company will indemnify and advance expenses to the director or officer (the “Indemnitee”) to the fullest extent permitted by applicable law and the Company’s Bylaws. The Indemnification Agreement also establishes various procedures, processes and requirements for the Indemnitee to exercise the provided indemnification and advancement rights.</w:t>
      </w:r>
    </w:p>
    <w:p>
      <w:pPr>
        <w:spacing w:after="0" w:line="138" w:lineRule="exact"/>
        <w:rPr>
          <w:sz w:val="20"/>
          <w:szCs w:val="20"/>
          <w:color w:val="auto"/>
        </w:rPr>
      </w:pPr>
    </w:p>
    <w:p>
      <w:pPr>
        <w:ind w:right="180" w:firstLine="318"/>
        <w:spacing w:after="0" w:line="275" w:lineRule="auto"/>
        <w:rPr>
          <w:sz w:val="20"/>
          <w:szCs w:val="20"/>
          <w:color w:val="auto"/>
        </w:rPr>
      </w:pPr>
      <w:r>
        <w:rPr>
          <w:rFonts w:ascii="Arial" w:cs="Arial" w:eastAsia="Arial" w:hAnsi="Arial"/>
          <w:sz w:val="18"/>
          <w:szCs w:val="18"/>
          <w:color w:val="auto"/>
        </w:rPr>
        <w:t>The foregoing description of the Indemnification Agreement does not purport to be complete and is qualified in its entirety by reference to the full text of the form of Indemnification Agreement, which is attached hereto as Exhibit 10.4 to this report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86" w:name="page87"/>
    <w:bookmarkEnd w:id="86"/>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600" w:type="dxa"/>
            <w:vAlign w:val="bottom"/>
            <w:gridSpan w:val="34"/>
          </w:tcPr>
          <w:p>
            <w:pPr>
              <w:spacing w:after="0"/>
              <w:rPr>
                <w:sz w:val="20"/>
                <w:szCs w:val="20"/>
                <w:color w:val="auto"/>
              </w:rPr>
            </w:pPr>
            <w:r>
              <w:rPr>
                <w:rFonts w:ascii="Arial" w:cs="Arial" w:eastAsia="Arial" w:hAnsi="Arial"/>
                <w:sz w:val="18"/>
                <w:szCs w:val="18"/>
                <w:b w:val="1"/>
                <w:bCs w:val="1"/>
                <w:color w:val="auto"/>
              </w:rPr>
              <w:t>ITEM 6. EXHIBIT</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130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gridSpan w:val="20"/>
          </w:tcPr>
          <w:p>
            <w:pPr>
              <w:ind w:left="180"/>
              <w:spacing w:after="0"/>
              <w:rPr>
                <w:sz w:val="20"/>
                <w:szCs w:val="20"/>
                <w:color w:val="auto"/>
              </w:rPr>
            </w:pPr>
            <w:r>
              <w:rPr>
                <w:rFonts w:ascii="Arial" w:cs="Arial" w:eastAsia="Arial" w:hAnsi="Arial"/>
                <w:sz w:val="18"/>
                <w:szCs w:val="18"/>
                <w:b w:val="1"/>
                <w:bCs w:val="1"/>
                <w:color w:val="auto"/>
              </w:rPr>
              <w:t>EXHIBIT INDEX</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130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740" w:type="dxa"/>
            <w:vAlign w:val="bottom"/>
            <w:gridSpan w:val="27"/>
            <w:vMerge w:val="restart"/>
          </w:tcPr>
          <w:p>
            <w:pPr>
              <w:ind w:left="340"/>
              <w:spacing w:after="0"/>
              <w:rPr>
                <w:sz w:val="20"/>
                <w:szCs w:val="20"/>
                <w:color w:val="auto"/>
              </w:rPr>
            </w:pPr>
            <w:r>
              <w:rPr>
                <w:rFonts w:ascii="Arial" w:cs="Arial" w:eastAsia="Arial" w:hAnsi="Arial"/>
                <w:sz w:val="18"/>
                <w:szCs w:val="18"/>
                <w:b w:val="1"/>
                <w:bCs w:val="1"/>
                <w:color w:val="auto"/>
              </w:rPr>
              <w:t>Exhibit Description</w:t>
            </w:r>
          </w:p>
        </w:tc>
        <w:tc>
          <w:tcPr>
            <w:tcW w:w="100" w:type="dxa"/>
            <w:vAlign w:val="bottom"/>
            <w:vMerge w:val="restart"/>
          </w:tcPr>
          <w:p>
            <w:pPr>
              <w:spacing w:after="0"/>
              <w:rPr>
                <w:sz w:val="19"/>
                <w:szCs w:val="19"/>
                <w:color w:val="auto"/>
              </w:rPr>
            </w:pPr>
          </w:p>
        </w:tc>
        <w:tc>
          <w:tcPr>
            <w:tcW w:w="3400" w:type="dxa"/>
            <w:vAlign w:val="bottom"/>
            <w:gridSpan w:val="5"/>
            <w:vMerge w:val="restart"/>
          </w:tcPr>
          <w:p>
            <w:pPr>
              <w:ind w:left="58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173"/>
        </w:trPr>
        <w:tc>
          <w:tcPr>
            <w:tcW w:w="11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gridSpan w:val="27"/>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3400" w:type="dxa"/>
            <w:vAlign w:val="bottom"/>
            <w:tcBorders>
              <w:bottom w:val="single" w:sz="8" w:color="auto"/>
            </w:tcBorders>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80" w:type="dxa"/>
            <w:vAlign w:val="bottom"/>
            <w:gridSpan w:val="31"/>
            <w:vMerge w:val="restart"/>
          </w:tcPr>
          <w:p>
            <w:pPr>
              <w:spacing w:after="0"/>
              <w:rPr>
                <w:rFonts w:ascii="Arial" w:cs="Arial" w:eastAsia="Arial" w:hAnsi="Arial"/>
                <w:sz w:val="18"/>
                <w:szCs w:val="18"/>
                <w:color w:val="0000FF"/>
              </w:rPr>
            </w:pPr>
            <w:hyperlink r:id="rId134">
              <w:r>
                <w:rPr>
                  <w:rFonts w:ascii="Arial" w:cs="Arial" w:eastAsia="Arial" w:hAnsi="Arial"/>
                  <w:sz w:val="18"/>
                  <w:szCs w:val="18"/>
                  <w:color w:val="0000FF"/>
                </w:rPr>
                <w:t>Restated Certificate of Incorporation.</w:t>
              </w:r>
            </w:hyperlink>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Form</w:t>
            </w:r>
          </w:p>
        </w:tc>
        <w:tc>
          <w:tcPr>
            <w:tcW w:w="1440" w:type="dxa"/>
            <w:vAlign w:val="bottom"/>
            <w:gridSpan w:val="2"/>
          </w:tcPr>
          <w:p>
            <w:pPr>
              <w:ind w:left="480"/>
              <w:spacing w:after="0"/>
              <w:rPr>
                <w:sz w:val="20"/>
                <w:szCs w:val="20"/>
                <w:color w:val="auto"/>
              </w:rPr>
            </w:pPr>
            <w:r>
              <w:rPr>
                <w:rFonts w:ascii="Arial" w:cs="Arial" w:eastAsia="Arial" w:hAnsi="Arial"/>
                <w:sz w:val="18"/>
                <w:szCs w:val="18"/>
                <w:b w:val="1"/>
                <w:bCs w:val="1"/>
                <w:color w:val="auto"/>
              </w:rPr>
              <w:t>Date</w:t>
            </w:r>
          </w:p>
        </w:tc>
        <w:tc>
          <w:tcPr>
            <w:tcW w:w="1020" w:type="dxa"/>
            <w:vAlign w:val="bottom"/>
          </w:tcPr>
          <w:p>
            <w:pPr>
              <w:ind w:left="180"/>
              <w:spacing w:after="0"/>
              <w:rPr>
                <w:sz w:val="20"/>
                <w:szCs w:val="20"/>
                <w:color w:val="auto"/>
              </w:rPr>
            </w:pPr>
            <w:r>
              <w:rPr>
                <w:rFonts w:ascii="Arial" w:cs="Arial" w:eastAsia="Arial" w:hAnsi="Arial"/>
                <w:sz w:val="18"/>
                <w:szCs w:val="18"/>
                <w:b w:val="1"/>
                <w:bCs w:val="1"/>
                <w:color w:val="auto"/>
              </w:rPr>
              <w:t>Number</w:t>
            </w:r>
          </w:p>
        </w:tc>
        <w:tc>
          <w:tcPr>
            <w:tcW w:w="0" w:type="dxa"/>
            <w:vAlign w:val="bottom"/>
          </w:tcPr>
          <w:p>
            <w:pPr>
              <w:spacing w:after="0"/>
              <w:rPr>
                <w:sz w:val="1"/>
                <w:szCs w:val="1"/>
                <w:color w:val="auto"/>
              </w:rPr>
            </w:pPr>
          </w:p>
        </w:tc>
      </w:tr>
      <w:tr>
        <w:trPr>
          <w:trHeight w:val="166"/>
        </w:trPr>
        <w:tc>
          <w:tcPr>
            <w:tcW w:w="1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80" w:type="dxa"/>
            <w:vAlign w:val="bottom"/>
            <w:gridSpan w:val="31"/>
            <w:vMerge w:val="continue"/>
          </w:tcPr>
          <w:p>
            <w:pPr>
              <w:spacing w:after="0"/>
              <w:rPr>
                <w:sz w:val="14"/>
                <w:szCs w:val="14"/>
                <w:color w:val="auto"/>
              </w:rPr>
            </w:pPr>
          </w:p>
        </w:tc>
        <w:tc>
          <w:tcPr>
            <w:tcW w:w="820" w:type="dxa"/>
            <w:vAlign w:val="bottom"/>
            <w:tcBorders>
              <w:top w:val="single" w:sz="8" w:color="auto"/>
            </w:tcBorders>
          </w:tcPr>
          <w:p>
            <w:pPr>
              <w:jc w:val="center"/>
              <w:spacing w:after="0" w:line="152" w:lineRule="exact"/>
              <w:rPr>
                <w:sz w:val="20"/>
                <w:szCs w:val="20"/>
                <w:color w:val="auto"/>
              </w:rPr>
            </w:pPr>
            <w:r>
              <w:rPr>
                <w:rFonts w:ascii="Arial" w:cs="Arial" w:eastAsia="Arial" w:hAnsi="Arial"/>
                <w:sz w:val="17"/>
                <w:szCs w:val="17"/>
                <w:color w:val="auto"/>
              </w:rPr>
              <w:t>10-Q</w:t>
            </w:r>
          </w:p>
        </w:tc>
        <w:tc>
          <w:tcPr>
            <w:tcW w:w="120" w:type="dxa"/>
            <w:vAlign w:val="bottom"/>
          </w:tcPr>
          <w:p>
            <w:pPr>
              <w:spacing w:after="0"/>
              <w:rPr>
                <w:sz w:val="14"/>
                <w:szCs w:val="14"/>
                <w:color w:val="auto"/>
              </w:rPr>
            </w:pPr>
          </w:p>
        </w:tc>
        <w:tc>
          <w:tcPr>
            <w:tcW w:w="1340" w:type="dxa"/>
            <w:vAlign w:val="bottom"/>
            <w:tcBorders>
              <w:top w:val="single" w:sz="8" w:color="auto"/>
            </w:tcBorders>
          </w:tcPr>
          <w:p>
            <w:pPr>
              <w:jc w:val="center"/>
              <w:spacing w:after="0" w:line="152" w:lineRule="exact"/>
              <w:rPr>
                <w:sz w:val="20"/>
                <w:szCs w:val="20"/>
                <w:color w:val="auto"/>
              </w:rPr>
            </w:pPr>
            <w:r>
              <w:rPr>
                <w:rFonts w:ascii="Arial" w:cs="Arial" w:eastAsia="Arial" w:hAnsi="Arial"/>
                <w:sz w:val="17"/>
                <w:szCs w:val="17"/>
                <w:color w:val="auto"/>
              </w:rPr>
              <w:t>6/12/2019</w:t>
            </w:r>
          </w:p>
        </w:tc>
        <w:tc>
          <w:tcPr>
            <w:tcW w:w="100" w:type="dxa"/>
            <w:vAlign w:val="bottom"/>
          </w:tcPr>
          <w:p>
            <w:pPr>
              <w:spacing w:after="0"/>
              <w:rPr>
                <w:sz w:val="14"/>
                <w:szCs w:val="14"/>
                <w:color w:val="auto"/>
              </w:rPr>
            </w:pPr>
          </w:p>
        </w:tc>
        <w:tc>
          <w:tcPr>
            <w:tcW w:w="1020" w:type="dxa"/>
            <w:vAlign w:val="bottom"/>
            <w:tcBorders>
              <w:top w:val="single" w:sz="8" w:color="auto"/>
            </w:tcBorders>
          </w:tcPr>
          <w:p>
            <w:pPr>
              <w:jc w:val="center"/>
              <w:spacing w:after="0" w:line="152" w:lineRule="exact"/>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180" w:type="dxa"/>
            <w:vAlign w:val="bottom"/>
          </w:tcPr>
          <w:p>
            <w:pPr>
              <w:jc w:val="center"/>
              <w:spacing w:after="0"/>
              <w:rPr>
                <w:sz w:val="20"/>
                <w:szCs w:val="20"/>
                <w:color w:val="auto"/>
              </w:rPr>
            </w:pPr>
            <w:r>
              <w:rPr>
                <w:rFonts w:ascii="Arial" w:cs="Arial" w:eastAsia="Arial" w:hAnsi="Arial"/>
                <w:sz w:val="18"/>
                <w:szCs w:val="18"/>
                <w:color w:val="auto"/>
                <w:w w:val="97"/>
              </w:rPr>
              <w:t>3.2</w:t>
            </w:r>
            <w:r>
              <w:rPr>
                <w:rFonts w:ascii="Arial" w:cs="Arial" w:eastAsia="Arial" w:hAnsi="Arial"/>
                <w:sz w:val="14"/>
                <w:szCs w:val="14"/>
                <w:color w:val="auto"/>
                <w:w w:val="97"/>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80" w:type="dxa"/>
            <w:vAlign w:val="bottom"/>
            <w:gridSpan w:val="31"/>
          </w:tcPr>
          <w:p>
            <w:pPr>
              <w:spacing w:after="0"/>
              <w:rPr>
                <w:rFonts w:ascii="Arial" w:cs="Arial" w:eastAsia="Arial" w:hAnsi="Arial"/>
                <w:sz w:val="18"/>
                <w:szCs w:val="18"/>
                <w:color w:val="0000FF"/>
              </w:rPr>
            </w:pPr>
            <w:hyperlink r:id="rId135">
              <w:r>
                <w:rPr>
                  <w:rFonts w:ascii="Arial" w:cs="Arial" w:eastAsia="Arial" w:hAnsi="Arial"/>
                  <w:sz w:val="18"/>
                  <w:szCs w:val="18"/>
                  <w:color w:val="0000FF"/>
                </w:rPr>
                <w:t>Warrant Agreement, dated as of May 7, 2025, among Beyond</w:t>
              </w:r>
            </w:hyperlink>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5/7/2025</w:t>
            </w:r>
          </w:p>
        </w:tc>
        <w:tc>
          <w:tcPr>
            <w:tcW w:w="1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20" w:type="dxa"/>
            <w:vAlign w:val="bottom"/>
            <w:tcBorders>
              <w:top w:val="single" w:sz="8" w:color="0000FF"/>
            </w:tcBorders>
            <w:gridSpan w:val="19"/>
          </w:tcPr>
          <w:p>
            <w:pPr>
              <w:spacing w:after="0" w:line="152" w:lineRule="exact"/>
              <w:rPr>
                <w:rFonts w:ascii="Arial" w:cs="Arial" w:eastAsia="Arial" w:hAnsi="Arial"/>
                <w:sz w:val="17"/>
                <w:szCs w:val="17"/>
                <w:color w:val="0000FF"/>
              </w:rPr>
            </w:pPr>
            <w:hyperlink r:id="rId135">
              <w:r>
                <w:rPr>
                  <w:rFonts w:ascii="Arial" w:cs="Arial" w:eastAsia="Arial" w:hAnsi="Arial"/>
                  <w:sz w:val="17"/>
                  <w:szCs w:val="17"/>
                  <w:color w:val="0000FF"/>
                </w:rPr>
                <w:t>Meat, Inc. and the warrant holders party thereto</w:t>
              </w:r>
              <w:r>
                <w:rPr>
                  <w:rFonts w:ascii="Arial" w:cs="Arial" w:eastAsia="Arial" w:hAnsi="Arial"/>
                  <w:sz w:val="17"/>
                  <w:szCs w:val="17"/>
                  <w:color w:val="000000"/>
                </w:rPr>
                <w:t>.</w:t>
              </w:r>
            </w:hyperlink>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180" w:type="dxa"/>
            <w:vAlign w:val="bottom"/>
          </w:tcPr>
          <w:p>
            <w:pPr>
              <w:jc w:val="center"/>
              <w:spacing w:after="0"/>
              <w:rPr>
                <w:sz w:val="20"/>
                <w:szCs w:val="20"/>
                <w:color w:val="auto"/>
              </w:rPr>
            </w:pPr>
            <w:r>
              <w:rPr>
                <w:rFonts w:ascii="Arial" w:cs="Arial" w:eastAsia="Arial" w:hAnsi="Arial"/>
                <w:sz w:val="18"/>
                <w:szCs w:val="18"/>
                <w:color w:val="auto"/>
                <w:w w:val="95"/>
              </w:rPr>
              <w:t>3.3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720" w:type="dxa"/>
            <w:vAlign w:val="bottom"/>
            <w:tcBorders>
              <w:top w:val="single" w:sz="8" w:color="0000FF"/>
            </w:tcBorders>
            <w:gridSpan w:val="13"/>
          </w:tcPr>
          <w:p>
            <w:pPr>
              <w:spacing w:after="0"/>
              <w:rPr>
                <w:rFonts w:ascii="Arial" w:cs="Arial" w:eastAsia="Arial" w:hAnsi="Arial"/>
                <w:sz w:val="18"/>
                <w:szCs w:val="18"/>
                <w:color w:val="0000FF"/>
              </w:rPr>
            </w:pPr>
            <w:hyperlink r:id="rId136">
              <w:r>
                <w:rPr>
                  <w:rFonts w:ascii="Arial" w:cs="Arial" w:eastAsia="Arial" w:hAnsi="Arial"/>
                  <w:sz w:val="18"/>
                  <w:szCs w:val="18"/>
                  <w:color w:val="0000FF"/>
                </w:rPr>
                <w:t>Amended and Restated Bylaws</w:t>
              </w:r>
            </w:hyperlink>
            <w:r>
              <w:rPr>
                <w:rFonts w:ascii="Arial" w:cs="Arial" w:eastAsia="Arial" w:hAnsi="Arial"/>
                <w:sz w:val="18"/>
                <w:szCs w:val="18"/>
                <w:color w:val="000000"/>
              </w:rPr>
              <w:t>.</w:t>
            </w:r>
          </w:p>
        </w:tc>
        <w:tc>
          <w:tcPr>
            <w:tcW w:w="1560" w:type="dxa"/>
            <w:vAlign w:val="bottom"/>
            <w:gridSpan w:val="18"/>
          </w:tcPr>
          <w:p>
            <w:pPr>
              <w:spacing w:after="0"/>
              <w:rPr>
                <w:sz w:val="19"/>
                <w:szCs w:val="19"/>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7"/>
              </w:rPr>
              <w:t>2/13/2024</w:t>
            </w:r>
          </w:p>
        </w:tc>
        <w:tc>
          <w:tcPr>
            <w:tcW w:w="1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80" w:type="dxa"/>
            <w:vAlign w:val="bottom"/>
          </w:tcPr>
          <w:p>
            <w:pPr>
              <w:jc w:val="center"/>
              <w:spacing w:after="0" w:line="205" w:lineRule="exact"/>
              <w:rPr>
                <w:sz w:val="20"/>
                <w:szCs w:val="20"/>
                <w:color w:val="auto"/>
              </w:rPr>
            </w:pPr>
            <w:r>
              <w:rPr>
                <w:rFonts w:ascii="Arial" w:cs="Arial" w:eastAsia="Arial" w:hAnsi="Arial"/>
                <w:sz w:val="18"/>
                <w:szCs w:val="18"/>
                <w:color w:val="auto"/>
                <w:w w:val="95"/>
              </w:rPr>
              <w:t>4.1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gridSpan w:val="31"/>
          </w:tcPr>
          <w:p>
            <w:pPr>
              <w:spacing w:after="0" w:line="205" w:lineRule="exact"/>
              <w:rPr>
                <w:rFonts w:ascii="Arial" w:cs="Arial" w:eastAsia="Arial" w:hAnsi="Arial"/>
                <w:sz w:val="18"/>
                <w:szCs w:val="18"/>
                <w:color w:val="0000FF"/>
              </w:rPr>
            </w:pPr>
            <w:hyperlink r:id="rId137">
              <w:r>
                <w:rPr>
                  <w:rFonts w:ascii="Arial" w:cs="Arial" w:eastAsia="Arial" w:hAnsi="Arial"/>
                  <w:sz w:val="18"/>
                  <w:szCs w:val="18"/>
                  <w:color w:val="0000FF"/>
                </w:rPr>
                <w:t>Form of Common Stock Certificate.</w:t>
              </w:r>
            </w:hyperlink>
          </w:p>
        </w:tc>
        <w:tc>
          <w:tcPr>
            <w:tcW w:w="940" w:type="dxa"/>
            <w:vAlign w:val="bottom"/>
            <w:gridSpan w:val="2"/>
          </w:tcPr>
          <w:p>
            <w:pPr>
              <w:jc w:val="center"/>
              <w:ind w:right="100"/>
              <w:spacing w:after="0" w:line="205" w:lineRule="exact"/>
              <w:rPr>
                <w:sz w:val="20"/>
                <w:szCs w:val="20"/>
                <w:color w:val="auto"/>
              </w:rPr>
            </w:pPr>
            <w:r>
              <w:rPr>
                <w:rFonts w:ascii="Arial" w:cs="Arial" w:eastAsia="Arial" w:hAnsi="Arial"/>
                <w:sz w:val="18"/>
                <w:szCs w:val="18"/>
                <w:color w:val="auto"/>
                <w:w w:val="97"/>
              </w:rPr>
              <w:t>S-1/A</w:t>
            </w:r>
          </w:p>
        </w:tc>
        <w:tc>
          <w:tcPr>
            <w:tcW w:w="1340" w:type="dxa"/>
            <w:vAlign w:val="bottom"/>
          </w:tcPr>
          <w:p>
            <w:pPr>
              <w:jc w:val="center"/>
              <w:spacing w:after="0" w:line="205" w:lineRule="exact"/>
              <w:rPr>
                <w:sz w:val="20"/>
                <w:szCs w:val="20"/>
                <w:color w:val="auto"/>
              </w:rPr>
            </w:pPr>
            <w:r>
              <w:rPr>
                <w:rFonts w:ascii="Arial" w:cs="Arial" w:eastAsia="Arial" w:hAnsi="Arial"/>
                <w:sz w:val="18"/>
                <w:szCs w:val="18"/>
                <w:color w:val="auto"/>
                <w:w w:val="97"/>
              </w:rPr>
              <w:t>3/27/2019</w:t>
            </w:r>
          </w:p>
        </w:tc>
        <w:tc>
          <w:tcPr>
            <w:tcW w:w="100" w:type="dxa"/>
            <w:vAlign w:val="bottom"/>
          </w:tcPr>
          <w:p>
            <w:pPr>
              <w:spacing w:after="0"/>
              <w:rPr>
                <w:sz w:val="17"/>
                <w:szCs w:val="17"/>
                <w:color w:val="auto"/>
              </w:rPr>
            </w:pPr>
          </w:p>
        </w:tc>
        <w:tc>
          <w:tcPr>
            <w:tcW w:w="1020" w:type="dxa"/>
            <w:vAlign w:val="bottom"/>
          </w:tcPr>
          <w:p>
            <w:pPr>
              <w:jc w:val="center"/>
              <w:spacing w:after="0" w:line="205" w:lineRule="exact"/>
              <w:rPr>
                <w:sz w:val="20"/>
                <w:szCs w:val="20"/>
                <w:color w:val="auto"/>
              </w:rPr>
            </w:pPr>
            <w:r>
              <w:rPr>
                <w:rFonts w:ascii="Arial" w:cs="Arial" w:eastAsia="Arial" w:hAnsi="Arial"/>
                <w:sz w:val="18"/>
                <w:szCs w:val="18"/>
                <w:color w:val="auto"/>
                <w:w w:val="95"/>
              </w:rPr>
              <w:t>4.1</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80" w:type="dxa"/>
            <w:vAlign w:val="bottom"/>
          </w:tcPr>
          <w:p>
            <w:pPr>
              <w:jc w:val="center"/>
              <w:spacing w:after="0" w:line="205" w:lineRule="exact"/>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gridSpan w:val="31"/>
          </w:tcPr>
          <w:p>
            <w:pPr>
              <w:spacing w:after="0" w:line="205" w:lineRule="exact"/>
              <w:rPr>
                <w:rFonts w:ascii="Arial" w:cs="Arial" w:eastAsia="Arial" w:hAnsi="Arial"/>
                <w:sz w:val="18"/>
                <w:szCs w:val="18"/>
                <w:color w:val="0000FF"/>
              </w:rPr>
            </w:pPr>
            <w:hyperlink r:id="rId138">
              <w:r>
                <w:rPr>
                  <w:rFonts w:ascii="Arial" w:cs="Arial" w:eastAsia="Arial" w:hAnsi="Arial"/>
                  <w:sz w:val="18"/>
                  <w:szCs w:val="18"/>
                  <w:color w:val="0000FF"/>
                </w:rPr>
                <w:t>Description of Registrant’s Securities.</w:t>
              </w:r>
            </w:hyperlink>
          </w:p>
        </w:tc>
        <w:tc>
          <w:tcPr>
            <w:tcW w:w="940" w:type="dxa"/>
            <w:vAlign w:val="bottom"/>
            <w:gridSpan w:val="2"/>
          </w:tcPr>
          <w:p>
            <w:pPr>
              <w:jc w:val="center"/>
              <w:ind w:right="120"/>
              <w:spacing w:after="0" w:line="205" w:lineRule="exact"/>
              <w:rPr>
                <w:sz w:val="20"/>
                <w:szCs w:val="20"/>
                <w:color w:val="auto"/>
              </w:rPr>
            </w:pPr>
            <w:r>
              <w:rPr>
                <w:rFonts w:ascii="Arial" w:cs="Arial" w:eastAsia="Arial" w:hAnsi="Arial"/>
                <w:sz w:val="18"/>
                <w:szCs w:val="18"/>
                <w:color w:val="auto"/>
                <w:w w:val="99"/>
              </w:rPr>
              <w:t>10-K</w:t>
            </w:r>
          </w:p>
        </w:tc>
        <w:tc>
          <w:tcPr>
            <w:tcW w:w="1340" w:type="dxa"/>
            <w:vAlign w:val="bottom"/>
          </w:tcPr>
          <w:p>
            <w:pPr>
              <w:jc w:val="center"/>
              <w:spacing w:after="0" w:line="205" w:lineRule="exact"/>
              <w:rPr>
                <w:sz w:val="20"/>
                <w:szCs w:val="20"/>
                <w:color w:val="auto"/>
              </w:rPr>
            </w:pPr>
            <w:r>
              <w:rPr>
                <w:rFonts w:ascii="Arial" w:cs="Arial" w:eastAsia="Arial" w:hAnsi="Arial"/>
                <w:sz w:val="18"/>
                <w:szCs w:val="18"/>
                <w:color w:val="auto"/>
                <w:w w:val="99"/>
              </w:rPr>
              <w:t>3/1/2023</w:t>
            </w:r>
          </w:p>
        </w:tc>
        <w:tc>
          <w:tcPr>
            <w:tcW w:w="100" w:type="dxa"/>
            <w:vAlign w:val="bottom"/>
          </w:tcPr>
          <w:p>
            <w:pPr>
              <w:spacing w:after="0"/>
              <w:rPr>
                <w:sz w:val="17"/>
                <w:szCs w:val="17"/>
                <w:color w:val="auto"/>
              </w:rPr>
            </w:pPr>
          </w:p>
        </w:tc>
        <w:tc>
          <w:tcPr>
            <w:tcW w:w="1020" w:type="dxa"/>
            <w:vAlign w:val="bottom"/>
          </w:tcPr>
          <w:p>
            <w:pPr>
              <w:jc w:val="center"/>
              <w:spacing w:after="0" w:line="205" w:lineRule="exact"/>
              <w:rPr>
                <w:sz w:val="20"/>
                <w:szCs w:val="20"/>
                <w:color w:val="auto"/>
              </w:rPr>
            </w:pPr>
            <w:r>
              <w:rPr>
                <w:rFonts w:ascii="Arial" w:cs="Arial" w:eastAsia="Arial" w:hAnsi="Arial"/>
                <w:sz w:val="18"/>
                <w:szCs w:val="18"/>
                <w:color w:val="auto"/>
                <w:w w:val="95"/>
              </w:rPr>
              <w:t>4.3</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80" w:type="dxa"/>
            <w:vAlign w:val="bottom"/>
          </w:tcPr>
          <w:p>
            <w:pPr>
              <w:jc w:val="center"/>
              <w:spacing w:after="0" w:line="205" w:lineRule="exact"/>
              <w:rPr>
                <w:sz w:val="20"/>
                <w:szCs w:val="20"/>
                <w:color w:val="auto"/>
              </w:rPr>
            </w:pPr>
            <w:r>
              <w:rPr>
                <w:rFonts w:ascii="Arial" w:cs="Arial" w:eastAsia="Arial" w:hAnsi="Arial"/>
                <w:sz w:val="18"/>
                <w:szCs w:val="18"/>
                <w:color w:val="auto"/>
                <w:w w:val="95"/>
              </w:rPr>
              <w:t>4.3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gridSpan w:val="31"/>
          </w:tcPr>
          <w:p>
            <w:pPr>
              <w:spacing w:after="0" w:line="205" w:lineRule="exact"/>
              <w:rPr>
                <w:rFonts w:ascii="Arial" w:cs="Arial" w:eastAsia="Arial" w:hAnsi="Arial"/>
                <w:sz w:val="18"/>
                <w:szCs w:val="18"/>
                <w:color w:val="0000FF"/>
              </w:rPr>
            </w:pPr>
            <w:hyperlink r:id="rId139">
              <w:r>
                <w:rPr>
                  <w:rFonts w:ascii="Arial" w:cs="Arial" w:eastAsia="Arial" w:hAnsi="Arial"/>
                  <w:sz w:val="18"/>
                  <w:szCs w:val="18"/>
                  <w:color w:val="0000FF"/>
                </w:rPr>
                <w:t>Indenture, dated as of March 5, 2021, between Beyond Meat, Inc.</w:t>
              </w:r>
            </w:hyperlink>
          </w:p>
        </w:tc>
        <w:tc>
          <w:tcPr>
            <w:tcW w:w="940" w:type="dxa"/>
            <w:vAlign w:val="bottom"/>
            <w:gridSpan w:val="2"/>
          </w:tcPr>
          <w:p>
            <w:pPr>
              <w:jc w:val="center"/>
              <w:ind w:right="100"/>
              <w:spacing w:after="0" w:line="205" w:lineRule="exact"/>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line="205" w:lineRule="exact"/>
              <w:rPr>
                <w:sz w:val="20"/>
                <w:szCs w:val="20"/>
                <w:color w:val="auto"/>
              </w:rPr>
            </w:pPr>
            <w:r>
              <w:rPr>
                <w:rFonts w:ascii="Arial" w:cs="Arial" w:eastAsia="Arial" w:hAnsi="Arial"/>
                <w:sz w:val="18"/>
                <w:szCs w:val="18"/>
                <w:color w:val="auto"/>
                <w:w w:val="99"/>
              </w:rPr>
              <w:t>3/5/2021</w:t>
            </w:r>
          </w:p>
        </w:tc>
        <w:tc>
          <w:tcPr>
            <w:tcW w:w="100" w:type="dxa"/>
            <w:vAlign w:val="bottom"/>
          </w:tcPr>
          <w:p>
            <w:pPr>
              <w:spacing w:after="0"/>
              <w:rPr>
                <w:sz w:val="17"/>
                <w:szCs w:val="17"/>
                <w:color w:val="auto"/>
              </w:rPr>
            </w:pPr>
          </w:p>
        </w:tc>
        <w:tc>
          <w:tcPr>
            <w:tcW w:w="1020" w:type="dxa"/>
            <w:vAlign w:val="bottom"/>
          </w:tcPr>
          <w:p>
            <w:pPr>
              <w:jc w:val="center"/>
              <w:spacing w:after="0" w:line="205" w:lineRule="exact"/>
              <w:rPr>
                <w:sz w:val="20"/>
                <w:szCs w:val="20"/>
                <w:color w:val="auto"/>
              </w:rPr>
            </w:pPr>
            <w:r>
              <w:rPr>
                <w:rFonts w:ascii="Arial" w:cs="Arial" w:eastAsia="Arial" w:hAnsi="Arial"/>
                <w:sz w:val="18"/>
                <w:szCs w:val="18"/>
                <w:color w:val="auto"/>
                <w:w w:val="95"/>
              </w:rPr>
              <w:t>4.1</w:t>
            </w: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00" w:type="dxa"/>
            <w:vAlign w:val="bottom"/>
            <w:tcBorders>
              <w:top w:val="single" w:sz="8" w:color="0000FF"/>
              <w:bottom w:val="single" w:sz="8" w:color="0000FF"/>
            </w:tcBorders>
            <w:gridSpan w:val="12"/>
          </w:tcPr>
          <w:p>
            <w:pPr>
              <w:spacing w:after="0" w:line="152" w:lineRule="exact"/>
              <w:rPr>
                <w:rFonts w:ascii="Arial" w:cs="Arial" w:eastAsia="Arial" w:hAnsi="Arial"/>
                <w:sz w:val="17"/>
                <w:szCs w:val="17"/>
                <w:color w:val="0000FF"/>
              </w:rPr>
            </w:pPr>
            <w:hyperlink r:id="rId139">
              <w:r>
                <w:rPr>
                  <w:rFonts w:ascii="Arial" w:cs="Arial" w:eastAsia="Arial" w:hAnsi="Arial"/>
                  <w:sz w:val="17"/>
                  <w:szCs w:val="17"/>
                  <w:color w:val="0000FF"/>
                </w:rPr>
                <w:t>and U.S. Bank National Association, as trustee.</w:t>
              </w:r>
            </w:hyperlink>
          </w:p>
        </w:tc>
        <w:tc>
          <w:tcPr>
            <w:tcW w:w="142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118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80" w:type="dxa"/>
            <w:vAlign w:val="bottom"/>
            <w:gridSpan w:val="31"/>
          </w:tcPr>
          <w:p>
            <w:pPr>
              <w:spacing w:after="0"/>
              <w:rPr>
                <w:rFonts w:ascii="Arial" w:cs="Arial" w:eastAsia="Arial" w:hAnsi="Arial"/>
                <w:sz w:val="18"/>
                <w:szCs w:val="18"/>
                <w:color w:val="0000FF"/>
              </w:rPr>
            </w:pPr>
            <w:hyperlink r:id="rId139">
              <w:r>
                <w:rPr>
                  <w:rFonts w:ascii="Arial" w:cs="Arial" w:eastAsia="Arial" w:hAnsi="Arial"/>
                  <w:sz w:val="18"/>
                  <w:szCs w:val="18"/>
                  <w:color w:val="0000FF"/>
                </w:rPr>
                <w:t>Form of certificate representing 0% Convertible Senior Notes due</w:t>
              </w:r>
            </w:hyperlink>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3/5/2021</w:t>
            </w:r>
          </w:p>
        </w:tc>
        <w:tc>
          <w:tcPr>
            <w:tcW w:w="1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00" w:type="dxa"/>
            <w:vAlign w:val="bottom"/>
            <w:tcBorders>
              <w:top w:val="single" w:sz="8" w:color="0000FF"/>
            </w:tcBorders>
            <w:gridSpan w:val="27"/>
          </w:tcPr>
          <w:p>
            <w:pPr>
              <w:spacing w:after="0" w:line="152" w:lineRule="exact"/>
              <w:rPr>
                <w:rFonts w:ascii="Arial" w:cs="Arial" w:eastAsia="Arial" w:hAnsi="Arial"/>
                <w:sz w:val="17"/>
                <w:szCs w:val="17"/>
                <w:color w:val="0000FF"/>
              </w:rPr>
            </w:pPr>
            <w:hyperlink r:id="rId139">
              <w:r>
                <w:rPr>
                  <w:rFonts w:ascii="Arial" w:cs="Arial" w:eastAsia="Arial" w:hAnsi="Arial"/>
                  <w:sz w:val="17"/>
                  <w:szCs w:val="17"/>
                  <w:color w:val="0000FF"/>
                </w:rPr>
                <w:t>2027 (included as Exhibit A in Exhibit 4.1 to the Form 8-K filed on</w:t>
              </w:r>
            </w:hyperlink>
          </w:p>
        </w:tc>
        <w:tc>
          <w:tcPr>
            <w:tcW w:w="40" w:type="dxa"/>
            <w:vAlign w:val="bottom"/>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top w:val="single" w:sz="8" w:color="0000FF"/>
              <w:bottom w:val="single" w:sz="8" w:color="0000FF"/>
            </w:tcBorders>
          </w:tcPr>
          <w:p>
            <w:pPr>
              <w:spacing w:after="0" w:line="165" w:lineRule="exact"/>
              <w:rPr>
                <w:rFonts w:ascii="Arial" w:cs="Arial" w:eastAsia="Arial" w:hAnsi="Arial"/>
                <w:sz w:val="18"/>
                <w:szCs w:val="18"/>
                <w:color w:val="0000FF"/>
                <w:w w:val="91"/>
              </w:rPr>
            </w:pPr>
            <w:hyperlink r:id="rId139">
              <w:r>
                <w:rPr>
                  <w:rFonts w:ascii="Arial" w:cs="Arial" w:eastAsia="Arial" w:hAnsi="Arial"/>
                  <w:sz w:val="18"/>
                  <w:szCs w:val="18"/>
                  <w:color w:val="0000FF"/>
                  <w:w w:val="91"/>
                </w:rPr>
                <w:t>3/5/21).</w:t>
              </w:r>
            </w:hyperlink>
          </w:p>
        </w:tc>
        <w:tc>
          <w:tcPr>
            <w:tcW w:w="20" w:type="dxa"/>
            <w:vAlign w:val="bottom"/>
            <w:tcBorders>
              <w:top w:val="single" w:sz="8" w:color="0000FF"/>
            </w:tcBorders>
          </w:tcPr>
          <w:p>
            <w:pPr>
              <w:spacing w:after="0"/>
              <w:rPr>
                <w:sz w:val="14"/>
                <w:szCs w:val="14"/>
                <w:color w:val="auto"/>
              </w:rPr>
            </w:pPr>
          </w:p>
        </w:tc>
        <w:tc>
          <w:tcPr>
            <w:tcW w:w="84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180" w:type="dxa"/>
            <w:vAlign w:val="bottom"/>
          </w:tcPr>
          <w:p>
            <w:pPr>
              <w:jc w:val="center"/>
              <w:spacing w:after="0" w:line="205" w:lineRule="exact"/>
              <w:rPr>
                <w:sz w:val="20"/>
                <w:szCs w:val="20"/>
                <w:color w:val="auto"/>
              </w:rPr>
            </w:pPr>
            <w:r>
              <w:rPr>
                <w:rFonts w:ascii="Arial" w:cs="Arial" w:eastAsia="Arial" w:hAnsi="Arial"/>
                <w:sz w:val="18"/>
                <w:szCs w:val="18"/>
                <w:color w:val="auto"/>
                <w:w w:val="99"/>
              </w:rPr>
              <w:t>10.1*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gridSpan w:val="31"/>
          </w:tcPr>
          <w:p>
            <w:pPr>
              <w:spacing w:after="0" w:line="205" w:lineRule="exact"/>
              <w:rPr>
                <w:rFonts w:ascii="Arial" w:cs="Arial" w:eastAsia="Arial" w:hAnsi="Arial"/>
                <w:sz w:val="18"/>
                <w:szCs w:val="18"/>
                <w:color w:val="0000FF"/>
              </w:rPr>
            </w:pPr>
            <w:hyperlink r:id="rId140">
              <w:r>
                <w:rPr>
                  <w:rFonts w:ascii="Arial" w:cs="Arial" w:eastAsia="Arial" w:hAnsi="Arial"/>
                  <w:sz w:val="18"/>
                  <w:szCs w:val="18"/>
                  <w:color w:val="0000FF"/>
                </w:rPr>
                <w:t>Separation Agreement, entered into on March 12, 2025 between</w:t>
              </w:r>
            </w:hyperlink>
          </w:p>
        </w:tc>
        <w:tc>
          <w:tcPr>
            <w:tcW w:w="940" w:type="dxa"/>
            <w:vAlign w:val="bottom"/>
            <w:gridSpan w:val="2"/>
          </w:tcPr>
          <w:p>
            <w:pPr>
              <w:jc w:val="center"/>
              <w:ind w:right="100"/>
              <w:spacing w:after="0" w:line="205" w:lineRule="exact"/>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line="205" w:lineRule="exact"/>
              <w:rPr>
                <w:sz w:val="20"/>
                <w:szCs w:val="20"/>
                <w:color w:val="auto"/>
              </w:rPr>
            </w:pPr>
            <w:r>
              <w:rPr>
                <w:rFonts w:ascii="Arial" w:cs="Arial" w:eastAsia="Arial" w:hAnsi="Arial"/>
                <w:sz w:val="18"/>
                <w:szCs w:val="18"/>
                <w:color w:val="auto"/>
                <w:w w:val="97"/>
              </w:rPr>
              <w:t>3/17/2025</w:t>
            </w:r>
          </w:p>
        </w:tc>
        <w:tc>
          <w:tcPr>
            <w:tcW w:w="100" w:type="dxa"/>
            <w:vAlign w:val="bottom"/>
          </w:tcPr>
          <w:p>
            <w:pPr>
              <w:spacing w:after="0"/>
              <w:rPr>
                <w:sz w:val="17"/>
                <w:szCs w:val="17"/>
                <w:color w:val="auto"/>
              </w:rPr>
            </w:pPr>
          </w:p>
        </w:tc>
        <w:tc>
          <w:tcPr>
            <w:tcW w:w="1020" w:type="dxa"/>
            <w:vAlign w:val="bottom"/>
          </w:tcPr>
          <w:p>
            <w:pPr>
              <w:jc w:val="center"/>
              <w:spacing w:after="0" w:line="205" w:lineRule="exact"/>
              <w:rPr>
                <w:sz w:val="20"/>
                <w:szCs w:val="20"/>
                <w:color w:val="auto"/>
              </w:rPr>
            </w:pPr>
            <w:r>
              <w:rPr>
                <w:rFonts w:ascii="Arial" w:cs="Arial" w:eastAsia="Arial" w:hAnsi="Arial"/>
                <w:sz w:val="18"/>
                <w:szCs w:val="18"/>
                <w:color w:val="auto"/>
                <w:w w:val="96"/>
              </w:rPr>
              <w:t>10.1</w:t>
            </w: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40" w:type="dxa"/>
            <w:vAlign w:val="bottom"/>
            <w:tcBorders>
              <w:top w:val="single" w:sz="8" w:color="0000FF"/>
            </w:tcBorders>
            <w:gridSpan w:val="25"/>
          </w:tcPr>
          <w:p>
            <w:pPr>
              <w:spacing w:after="0" w:line="152" w:lineRule="exact"/>
              <w:rPr>
                <w:rFonts w:ascii="Arial" w:cs="Arial" w:eastAsia="Arial" w:hAnsi="Arial"/>
                <w:sz w:val="17"/>
                <w:szCs w:val="17"/>
                <w:color w:val="0000FF"/>
              </w:rPr>
            </w:pPr>
            <w:hyperlink r:id="rId140">
              <w:r>
                <w:rPr>
                  <w:rFonts w:ascii="Arial" w:cs="Arial" w:eastAsia="Arial" w:hAnsi="Arial"/>
                  <w:sz w:val="17"/>
                  <w:szCs w:val="17"/>
                  <w:color w:val="0000FF"/>
                </w:rPr>
                <w:t>Beyond Meat, Inc. and Akerho Oghoghomeh</w:t>
              </w:r>
              <w:r>
                <w:rPr>
                  <w:rFonts w:ascii="Arial" w:cs="Arial" w:eastAsia="Arial" w:hAnsi="Arial"/>
                  <w:sz w:val="17"/>
                  <w:szCs w:val="17"/>
                  <w:color w:val="000000"/>
                </w:rPr>
                <w:t>.</w:t>
              </w:r>
            </w:hyperlink>
          </w:p>
        </w:tc>
        <w:tc>
          <w:tcPr>
            <w:tcW w:w="100" w:type="dxa"/>
            <w:vAlign w:val="bottom"/>
            <w:gridSpan w:val="4"/>
          </w:tcPr>
          <w:p>
            <w:pPr>
              <w:spacing w:after="0"/>
              <w:rPr>
                <w:sz w:val="13"/>
                <w:szCs w:val="13"/>
                <w:color w:val="auto"/>
              </w:rPr>
            </w:pPr>
          </w:p>
        </w:tc>
        <w:tc>
          <w:tcPr>
            <w:tcW w:w="14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180" w:type="dxa"/>
            <w:vAlign w:val="bottom"/>
          </w:tcPr>
          <w:p>
            <w:pPr>
              <w:jc w:val="center"/>
              <w:spacing w:after="0"/>
              <w:rPr>
                <w:sz w:val="20"/>
                <w:szCs w:val="20"/>
                <w:color w:val="auto"/>
              </w:rPr>
            </w:pPr>
            <w:r>
              <w:rPr>
                <w:rFonts w:ascii="Arial" w:cs="Arial" w:eastAsia="Arial" w:hAnsi="Arial"/>
                <w:sz w:val="18"/>
                <w:szCs w:val="18"/>
                <w:color w:val="auto"/>
                <w:w w:val="97"/>
              </w:rPr>
              <w:t>10.2</w:t>
            </w:r>
            <w:r>
              <w:rPr>
                <w:rFonts w:ascii="Arial" w:cs="Arial" w:eastAsia="Arial" w:hAnsi="Arial"/>
                <w:sz w:val="14"/>
                <w:szCs w:val="14"/>
                <w:color w:val="auto"/>
                <w:w w:val="97"/>
              </w:rPr>
              <w:t>#</w:t>
            </w:r>
            <w:r>
              <w:rPr>
                <w:rFonts w:ascii="Arial" w:cs="Arial" w:eastAsia="Arial" w:hAnsi="Arial"/>
                <w:sz w:val="18"/>
                <w:szCs w:val="18"/>
                <w:color w:val="auto"/>
                <w:w w:val="97"/>
              </w:rPr>
              <w: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80" w:type="dxa"/>
            <w:vAlign w:val="bottom"/>
            <w:gridSpan w:val="31"/>
          </w:tcPr>
          <w:p>
            <w:pPr>
              <w:spacing w:after="0"/>
              <w:rPr>
                <w:rFonts w:ascii="Arial" w:cs="Arial" w:eastAsia="Arial" w:hAnsi="Arial"/>
                <w:sz w:val="18"/>
                <w:szCs w:val="18"/>
                <w:color w:val="0000FF"/>
              </w:rPr>
            </w:pPr>
            <w:hyperlink r:id="rId141">
              <w:r>
                <w:rPr>
                  <w:rFonts w:ascii="Arial" w:cs="Arial" w:eastAsia="Arial" w:hAnsi="Arial"/>
                  <w:sz w:val="18"/>
                  <w:szCs w:val="18"/>
                  <w:color w:val="0000FF"/>
                </w:rPr>
                <w:t>Loan and Security Agreement, dated as of May 7, 2025, among</w:t>
              </w:r>
            </w:hyperlink>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5/7/2025</w:t>
            </w:r>
          </w:p>
        </w:tc>
        <w:tc>
          <w:tcPr>
            <w:tcW w:w="1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6"/>
              </w:rPr>
              <w:t>10.1</w:t>
            </w: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60" w:type="dxa"/>
            <w:vAlign w:val="bottom"/>
            <w:tcBorders>
              <w:top w:val="single" w:sz="8" w:color="0000FF"/>
              <w:bottom w:val="single" w:sz="8" w:color="0000FF"/>
            </w:tcBorders>
            <w:gridSpan w:val="21"/>
          </w:tcPr>
          <w:p>
            <w:pPr>
              <w:spacing w:after="0" w:line="152" w:lineRule="exact"/>
              <w:rPr>
                <w:rFonts w:ascii="Arial" w:cs="Arial" w:eastAsia="Arial" w:hAnsi="Arial"/>
                <w:sz w:val="17"/>
                <w:szCs w:val="17"/>
                <w:color w:val="0000FF"/>
              </w:rPr>
            </w:pPr>
            <w:hyperlink r:id="rId141">
              <w:r>
                <w:rPr>
                  <w:rFonts w:ascii="Arial" w:cs="Arial" w:eastAsia="Arial" w:hAnsi="Arial"/>
                  <w:sz w:val="17"/>
                  <w:szCs w:val="17"/>
                  <w:color w:val="0000FF"/>
                </w:rPr>
                <w:t>Beyond Meat, Inc., as borrower, Unprocessed Foods, LLC, as a</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14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80" w:type="dxa"/>
            <w:vAlign w:val="bottom"/>
            <w:gridSpan w:val="22"/>
          </w:tcPr>
          <w:p>
            <w:pPr>
              <w:spacing w:after="0" w:line="165" w:lineRule="exact"/>
              <w:rPr>
                <w:rFonts w:ascii="Arial" w:cs="Arial" w:eastAsia="Arial" w:hAnsi="Arial"/>
                <w:sz w:val="18"/>
                <w:szCs w:val="18"/>
                <w:color w:val="0000FF"/>
                <w:w w:val="98"/>
              </w:rPr>
            </w:pPr>
            <w:hyperlink r:id="rId141">
              <w:r>
                <w:rPr>
                  <w:rFonts w:ascii="Arial" w:cs="Arial" w:eastAsia="Arial" w:hAnsi="Arial"/>
                  <w:sz w:val="18"/>
                  <w:szCs w:val="18"/>
                  <w:color w:val="0000FF"/>
                  <w:w w:val="98"/>
                </w:rPr>
                <w:t>lender, the other lenders party thereto from time to time and the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5"/>
          </w:tcPr>
          <w:p>
            <w:pPr>
              <w:spacing w:after="0"/>
              <w:rPr>
                <w:sz w:val="14"/>
                <w:szCs w:val="14"/>
                <w:color w:val="auto"/>
              </w:rPr>
            </w:pPr>
          </w:p>
        </w:tc>
        <w:tc>
          <w:tcPr>
            <w:tcW w:w="140" w:type="dxa"/>
            <w:vAlign w:val="bottom"/>
            <w:gridSpan w:val="2"/>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40" w:type="dxa"/>
            <w:vAlign w:val="bottom"/>
            <w:tcBorders>
              <w:top w:val="single" w:sz="8" w:color="0000FF"/>
            </w:tcBorders>
            <w:gridSpan w:val="20"/>
          </w:tcPr>
          <w:p>
            <w:pPr>
              <w:spacing w:after="0" w:line="152" w:lineRule="exact"/>
              <w:rPr>
                <w:rFonts w:ascii="Arial" w:cs="Arial" w:eastAsia="Arial" w:hAnsi="Arial"/>
                <w:sz w:val="17"/>
                <w:szCs w:val="17"/>
                <w:color w:val="0000FF"/>
              </w:rPr>
            </w:pPr>
            <w:hyperlink r:id="rId141">
              <w:r>
                <w:rPr>
                  <w:rFonts w:ascii="Arial" w:cs="Arial" w:eastAsia="Arial" w:hAnsi="Arial"/>
                  <w:sz w:val="17"/>
                  <w:szCs w:val="17"/>
                  <w:color w:val="0000FF"/>
                </w:rPr>
                <w:t>guarantors party thereto from time to time.</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14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11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80" w:type="dxa"/>
            <w:vAlign w:val="bottom"/>
          </w:tcPr>
          <w:p>
            <w:pPr>
              <w:jc w:val="center"/>
              <w:spacing w:after="0" w:line="205" w:lineRule="exact"/>
              <w:rPr>
                <w:sz w:val="20"/>
                <w:szCs w:val="20"/>
                <w:color w:val="auto"/>
              </w:rPr>
            </w:pPr>
            <w:r>
              <w:rPr>
                <w:rFonts w:ascii="Arial" w:cs="Arial" w:eastAsia="Arial" w:hAnsi="Arial"/>
                <w:sz w:val="18"/>
                <w:szCs w:val="18"/>
                <w:color w:val="auto"/>
                <w:w w:val="99"/>
              </w:rPr>
              <w:t>10.3*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gridSpan w:val="31"/>
          </w:tcPr>
          <w:p>
            <w:pPr>
              <w:spacing w:after="0" w:line="205" w:lineRule="exact"/>
              <w:rPr>
                <w:rFonts w:ascii="Arial" w:cs="Arial" w:eastAsia="Arial" w:hAnsi="Arial"/>
                <w:sz w:val="18"/>
                <w:szCs w:val="18"/>
                <w:color w:val="0000FF"/>
              </w:rPr>
            </w:pPr>
            <w:hyperlink r:id="rId142">
              <w:r>
                <w:rPr>
                  <w:rFonts w:ascii="Arial" w:cs="Arial" w:eastAsia="Arial" w:hAnsi="Arial"/>
                  <w:sz w:val="18"/>
                  <w:szCs w:val="18"/>
                  <w:color w:val="0000FF"/>
                </w:rPr>
                <w:t>Form of Indemnification Agreement with directors and executive</w:t>
              </w:r>
            </w:hyperlink>
          </w:p>
        </w:tc>
        <w:tc>
          <w:tcPr>
            <w:tcW w:w="940" w:type="dxa"/>
            <w:vAlign w:val="bottom"/>
            <w:gridSpan w:val="2"/>
          </w:tcPr>
          <w:p>
            <w:pPr>
              <w:jc w:val="center"/>
              <w:ind w:right="100"/>
              <w:spacing w:after="0" w:line="205" w:lineRule="exact"/>
              <w:rPr>
                <w:sz w:val="20"/>
                <w:szCs w:val="20"/>
                <w:color w:val="auto"/>
              </w:rPr>
            </w:pPr>
            <w:r>
              <w:rPr>
                <w:rFonts w:ascii="Arial" w:cs="Arial" w:eastAsia="Arial" w:hAnsi="Arial"/>
                <w:sz w:val="18"/>
                <w:szCs w:val="18"/>
                <w:color w:val="auto"/>
                <w:w w:val="97"/>
              </w:rPr>
              <w:t>S-1/A</w:t>
            </w:r>
          </w:p>
        </w:tc>
        <w:tc>
          <w:tcPr>
            <w:tcW w:w="1340" w:type="dxa"/>
            <w:vAlign w:val="bottom"/>
          </w:tcPr>
          <w:p>
            <w:pPr>
              <w:jc w:val="center"/>
              <w:spacing w:after="0" w:line="205" w:lineRule="exact"/>
              <w:rPr>
                <w:sz w:val="20"/>
                <w:szCs w:val="20"/>
                <w:color w:val="auto"/>
              </w:rPr>
            </w:pPr>
            <w:r>
              <w:rPr>
                <w:rFonts w:ascii="Arial" w:cs="Arial" w:eastAsia="Arial" w:hAnsi="Arial"/>
                <w:sz w:val="18"/>
                <w:szCs w:val="18"/>
                <w:color w:val="auto"/>
                <w:w w:val="99"/>
              </w:rPr>
              <w:t>1/9/2019</w:t>
            </w:r>
          </w:p>
        </w:tc>
        <w:tc>
          <w:tcPr>
            <w:tcW w:w="100" w:type="dxa"/>
            <w:vAlign w:val="bottom"/>
          </w:tcPr>
          <w:p>
            <w:pPr>
              <w:spacing w:after="0"/>
              <w:rPr>
                <w:sz w:val="17"/>
                <w:szCs w:val="17"/>
                <w:color w:val="auto"/>
              </w:rPr>
            </w:pPr>
          </w:p>
        </w:tc>
        <w:tc>
          <w:tcPr>
            <w:tcW w:w="1020" w:type="dxa"/>
            <w:vAlign w:val="bottom"/>
          </w:tcPr>
          <w:p>
            <w:pPr>
              <w:jc w:val="center"/>
              <w:spacing w:after="0" w:line="205" w:lineRule="exact"/>
              <w:rPr>
                <w:sz w:val="20"/>
                <w:szCs w:val="20"/>
                <w:color w:val="auto"/>
              </w:rPr>
            </w:pPr>
            <w:r>
              <w:rPr>
                <w:rFonts w:ascii="Arial" w:cs="Arial" w:eastAsia="Arial" w:hAnsi="Arial"/>
                <w:sz w:val="18"/>
                <w:szCs w:val="18"/>
                <w:color w:val="auto"/>
                <w:w w:val="93"/>
              </w:rPr>
              <w:t>10.11</w:t>
            </w: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20" w:type="dxa"/>
            <w:vAlign w:val="bottom"/>
            <w:tcBorders>
              <w:top w:val="single" w:sz="8" w:color="0000FF"/>
            </w:tcBorders>
            <w:gridSpan w:val="24"/>
          </w:tcPr>
          <w:p>
            <w:pPr>
              <w:spacing w:after="0" w:line="152" w:lineRule="exact"/>
              <w:rPr>
                <w:rFonts w:ascii="Arial" w:cs="Arial" w:eastAsia="Arial" w:hAnsi="Arial"/>
                <w:sz w:val="17"/>
                <w:szCs w:val="17"/>
                <w:color w:val="0000FF"/>
              </w:rPr>
            </w:pPr>
            <w:hyperlink r:id="rId142">
              <w:r>
                <w:rPr>
                  <w:rFonts w:ascii="Arial" w:cs="Arial" w:eastAsia="Arial" w:hAnsi="Arial"/>
                  <w:sz w:val="17"/>
                  <w:szCs w:val="17"/>
                  <w:color w:val="0000FF"/>
                </w:rPr>
                <w:t>officers.</w:t>
              </w:r>
            </w:hyperlink>
          </w:p>
        </w:tc>
        <w:tc>
          <w:tcPr>
            <w:tcW w:w="120" w:type="dxa"/>
            <w:vAlign w:val="bottom"/>
            <w:gridSpan w:val="5"/>
          </w:tcPr>
          <w:p>
            <w:pPr>
              <w:spacing w:after="0"/>
              <w:rPr>
                <w:sz w:val="13"/>
                <w:szCs w:val="13"/>
                <w:color w:val="auto"/>
              </w:rPr>
            </w:pPr>
          </w:p>
        </w:tc>
        <w:tc>
          <w:tcPr>
            <w:tcW w:w="14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92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180" w:type="dxa"/>
            <w:vAlign w:val="bottom"/>
          </w:tcPr>
          <w:p>
            <w:pPr>
              <w:jc w:val="center"/>
              <w:spacing w:after="0"/>
              <w:rPr>
                <w:sz w:val="20"/>
                <w:szCs w:val="20"/>
                <w:color w:val="auto"/>
              </w:rPr>
            </w:pPr>
            <w:r>
              <w:rPr>
                <w:rFonts w:ascii="Arial" w:cs="Arial" w:eastAsia="Arial" w:hAnsi="Arial"/>
                <w:sz w:val="18"/>
                <w:szCs w:val="18"/>
                <w:color w:val="auto"/>
                <w:w w:val="99"/>
              </w:rPr>
              <w:t>10.4*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80" w:type="dxa"/>
            <w:vAlign w:val="bottom"/>
            <w:gridSpan w:val="31"/>
          </w:tcPr>
          <w:p>
            <w:pPr>
              <w:spacing w:after="0"/>
              <w:rPr>
                <w:sz w:val="20"/>
                <w:szCs w:val="20"/>
                <w:color w:val="auto"/>
              </w:rPr>
            </w:pPr>
            <w:r>
              <w:rPr>
                <w:rFonts w:ascii="Arial" w:cs="Arial" w:eastAsia="Arial" w:hAnsi="Arial"/>
                <w:sz w:val="18"/>
                <w:szCs w:val="18"/>
                <w:color w:val="0000FF"/>
              </w:rPr>
              <w:t>Form of Indemnification Agreement with directors and executive</w:t>
            </w: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20" w:type="dxa"/>
            <w:vAlign w:val="bottom"/>
            <w:tcBorders>
              <w:top w:val="single" w:sz="8" w:color="0000FF"/>
            </w:tcBorders>
            <w:gridSpan w:val="24"/>
          </w:tcPr>
          <w:p>
            <w:pPr>
              <w:spacing w:after="0" w:line="152" w:lineRule="exact"/>
              <w:rPr>
                <w:sz w:val="20"/>
                <w:szCs w:val="20"/>
                <w:color w:val="auto"/>
              </w:rPr>
            </w:pPr>
            <w:r>
              <w:rPr>
                <w:rFonts w:ascii="Arial" w:cs="Arial" w:eastAsia="Arial" w:hAnsi="Arial"/>
                <w:sz w:val="17"/>
                <w:szCs w:val="17"/>
                <w:color w:val="0000FF"/>
              </w:rPr>
              <w:t>officers (approved May 6, 2025)</w:t>
            </w:r>
            <w:r>
              <w:rPr>
                <w:rFonts w:ascii="Arial" w:cs="Arial" w:eastAsia="Arial" w:hAnsi="Arial"/>
                <w:sz w:val="17"/>
                <w:szCs w:val="17"/>
                <w:color w:val="000000"/>
              </w:rPr>
              <w:t>.</w:t>
            </w:r>
          </w:p>
        </w:tc>
        <w:tc>
          <w:tcPr>
            <w:tcW w:w="120" w:type="dxa"/>
            <w:vAlign w:val="bottom"/>
            <w:gridSpan w:val="5"/>
          </w:tcPr>
          <w:p>
            <w:pPr>
              <w:spacing w:after="0"/>
              <w:rPr>
                <w:sz w:val="13"/>
                <w:szCs w:val="13"/>
                <w:color w:val="auto"/>
              </w:rPr>
            </w:pPr>
          </w:p>
        </w:tc>
        <w:tc>
          <w:tcPr>
            <w:tcW w:w="14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92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1180" w:type="dxa"/>
            <w:vAlign w:val="bottom"/>
          </w:tcPr>
          <w:p>
            <w:pPr>
              <w:jc w:val="center"/>
              <w:spacing w:after="0" w:line="205" w:lineRule="exact"/>
              <w:rPr>
                <w:sz w:val="20"/>
                <w:szCs w:val="20"/>
                <w:color w:val="auto"/>
              </w:rPr>
            </w:pPr>
            <w:r>
              <w:rPr>
                <w:rFonts w:ascii="Arial" w:cs="Arial" w:eastAsia="Arial" w:hAnsi="Arial"/>
                <w:sz w:val="18"/>
                <w:szCs w:val="18"/>
                <w:color w:val="auto"/>
                <w:w w:val="96"/>
              </w:rPr>
              <w:t>31.1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80" w:type="dxa"/>
            <w:vAlign w:val="bottom"/>
            <w:gridSpan w:val="31"/>
          </w:tcPr>
          <w:p>
            <w:pPr>
              <w:spacing w:after="0" w:line="205" w:lineRule="exact"/>
              <w:rPr>
                <w:sz w:val="20"/>
                <w:szCs w:val="20"/>
                <w:color w:val="auto"/>
              </w:rPr>
            </w:pPr>
            <w:r>
              <w:rPr>
                <w:rFonts w:ascii="Arial" w:cs="Arial" w:eastAsia="Arial" w:hAnsi="Arial"/>
                <w:sz w:val="18"/>
                <w:szCs w:val="18"/>
                <w:color w:val="0000FF"/>
              </w:rPr>
              <w:t>Certification of Chief Executive Officer pursuant to Rules 13a-</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0" w:type="dxa"/>
            <w:vAlign w:val="bottom"/>
            <w:tcBorders>
              <w:top w:val="single" w:sz="8" w:color="0000FF"/>
              <w:bottom w:val="single" w:sz="8" w:color="0000FF"/>
            </w:tcBorders>
            <w:gridSpan w:val="18"/>
          </w:tcPr>
          <w:p>
            <w:pPr>
              <w:spacing w:after="0" w:line="159" w:lineRule="exact"/>
              <w:rPr>
                <w:sz w:val="20"/>
                <w:szCs w:val="20"/>
                <w:color w:val="auto"/>
              </w:rPr>
            </w:pPr>
            <w:r>
              <w:rPr>
                <w:rFonts w:ascii="Arial" w:cs="Arial" w:eastAsia="Arial" w:hAnsi="Arial"/>
                <w:sz w:val="18"/>
                <w:szCs w:val="18"/>
                <w:color w:val="0000FF"/>
                <w:w w:val="99"/>
              </w:rPr>
              <w:t>14(a) and 15d-14(a) of the Securities Exchange Act of 1934,</w:t>
            </w:r>
          </w:p>
        </w:tc>
        <w:tc>
          <w:tcPr>
            <w:tcW w:w="200" w:type="dxa"/>
            <w:vAlign w:val="bottom"/>
            <w:tcBorders>
              <w:bottom w:val="single" w:sz="8" w:color="0000FF"/>
            </w:tcBorders>
            <w:gridSpan w:val="5"/>
          </w:tcPr>
          <w:p>
            <w:pPr>
              <w:spacing w:after="0" w:line="159" w:lineRule="exact"/>
              <w:rPr>
                <w:sz w:val="20"/>
                <w:szCs w:val="20"/>
                <w:color w:val="auto"/>
              </w:rPr>
            </w:pPr>
            <w:r>
              <w:rPr>
                <w:rFonts w:ascii="Arial" w:cs="Arial" w:eastAsia="Arial" w:hAnsi="Arial"/>
                <w:sz w:val="18"/>
                <w:szCs w:val="18"/>
                <w:color w:val="0000FF"/>
                <w:w w:val="94"/>
              </w:rPr>
              <w:t>as</w:t>
            </w:r>
          </w:p>
        </w:tc>
        <w:tc>
          <w:tcPr>
            <w:tcW w:w="280" w:type="dxa"/>
            <w:vAlign w:val="bottom"/>
            <w:gridSpan w:val="8"/>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80" w:type="dxa"/>
            <w:vAlign w:val="bottom"/>
            <w:gridSpan w:val="31"/>
          </w:tcPr>
          <w:p>
            <w:pPr>
              <w:spacing w:after="0" w:line="165" w:lineRule="exact"/>
              <w:rPr>
                <w:sz w:val="20"/>
                <w:szCs w:val="20"/>
                <w:color w:val="auto"/>
              </w:rPr>
            </w:pPr>
            <w:r>
              <w:rPr>
                <w:rFonts w:ascii="Arial" w:cs="Arial" w:eastAsia="Arial" w:hAnsi="Arial"/>
                <w:sz w:val="18"/>
                <w:szCs w:val="18"/>
                <w:color w:val="0000FF"/>
              </w:rPr>
              <w:t>amended, as adopted pursuant to Section 302 of the Sarbanes-</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tcBorders>
              <w:top w:val="single" w:sz="8" w:color="0000FF"/>
              <w:bottom w:val="single" w:sz="8" w:color="0000FF"/>
            </w:tcBorders>
            <w:gridSpan w:val="3"/>
          </w:tcPr>
          <w:p>
            <w:pPr>
              <w:spacing w:after="0" w:line="152" w:lineRule="exact"/>
              <w:rPr>
                <w:sz w:val="20"/>
                <w:szCs w:val="20"/>
                <w:color w:val="auto"/>
              </w:rPr>
            </w:pPr>
            <w:r>
              <w:rPr>
                <w:rFonts w:ascii="Arial" w:cs="Arial" w:eastAsia="Arial" w:hAnsi="Arial"/>
                <w:sz w:val="17"/>
                <w:szCs w:val="17"/>
                <w:color w:val="0000FF"/>
              </w:rPr>
              <w:t>Oxley Act of 2002.</w:t>
            </w:r>
          </w:p>
        </w:tc>
        <w:tc>
          <w:tcPr>
            <w:tcW w:w="3560" w:type="dxa"/>
            <w:vAlign w:val="bottom"/>
            <w:tcBorders>
              <w:top w:val="single" w:sz="8" w:color="0000FF"/>
            </w:tcBorders>
            <w:gridSpan w:val="20"/>
          </w:tcPr>
          <w:p>
            <w:pPr>
              <w:spacing w:after="0"/>
              <w:rPr>
                <w:sz w:val="13"/>
                <w:szCs w:val="13"/>
                <w:color w:val="auto"/>
              </w:rPr>
            </w:pPr>
          </w:p>
        </w:tc>
        <w:tc>
          <w:tcPr>
            <w:tcW w:w="140" w:type="dxa"/>
            <w:vAlign w:val="bottom"/>
            <w:gridSpan w:val="6"/>
          </w:tcPr>
          <w:p>
            <w:pPr>
              <w:spacing w:after="0"/>
              <w:rPr>
                <w:sz w:val="13"/>
                <w:szCs w:val="13"/>
                <w:color w:val="auto"/>
              </w:rPr>
            </w:pPr>
          </w:p>
        </w:tc>
        <w:tc>
          <w:tcPr>
            <w:tcW w:w="14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180" w:type="dxa"/>
            <w:vAlign w:val="bottom"/>
          </w:tcPr>
          <w:p>
            <w:pPr>
              <w:jc w:val="center"/>
              <w:spacing w:after="0" w:line="205" w:lineRule="exact"/>
              <w:rPr>
                <w:sz w:val="20"/>
                <w:szCs w:val="20"/>
                <w:color w:val="auto"/>
              </w:rPr>
            </w:pPr>
            <w:r>
              <w:rPr>
                <w:rFonts w:ascii="Arial" w:cs="Arial" w:eastAsia="Arial" w:hAnsi="Arial"/>
                <w:sz w:val="18"/>
                <w:szCs w:val="18"/>
                <w:color w:val="auto"/>
                <w:w w:val="96"/>
              </w:rPr>
              <w:t>31.2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gridSpan w:val="31"/>
          </w:tcPr>
          <w:p>
            <w:pPr>
              <w:spacing w:after="0" w:line="205" w:lineRule="exact"/>
              <w:rPr>
                <w:sz w:val="20"/>
                <w:szCs w:val="20"/>
                <w:color w:val="auto"/>
              </w:rPr>
            </w:pPr>
            <w:r>
              <w:rPr>
                <w:rFonts w:ascii="Arial" w:cs="Arial" w:eastAsia="Arial" w:hAnsi="Arial"/>
                <w:sz w:val="18"/>
                <w:szCs w:val="18"/>
                <w:color w:val="0000FF"/>
                <w:w w:val="99"/>
              </w:rPr>
              <w:t>Certification of Chief Financial Officer pursuant to Rules 13a-14(a)</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80" w:type="dxa"/>
            <w:vAlign w:val="bottom"/>
            <w:tcBorders>
              <w:top w:val="single" w:sz="8" w:color="0000FF"/>
              <w:bottom w:val="single" w:sz="8" w:color="0000FF"/>
            </w:tcBorders>
            <w:gridSpan w:val="15"/>
          </w:tcPr>
          <w:p>
            <w:pPr>
              <w:spacing w:after="0" w:line="152" w:lineRule="exact"/>
              <w:rPr>
                <w:sz w:val="20"/>
                <w:szCs w:val="20"/>
                <w:color w:val="auto"/>
              </w:rPr>
            </w:pPr>
            <w:r>
              <w:rPr>
                <w:rFonts w:ascii="Arial" w:cs="Arial" w:eastAsia="Arial" w:hAnsi="Arial"/>
                <w:sz w:val="17"/>
                <w:szCs w:val="17"/>
                <w:color w:val="0000FF"/>
              </w:rPr>
              <w:t>and 15d-14(a) of the Securities Exchange Act of 1934, as</w:t>
            </w:r>
          </w:p>
        </w:tc>
        <w:tc>
          <w:tcPr>
            <w:tcW w:w="660" w:type="dxa"/>
            <w:vAlign w:val="bottom"/>
            <w:tcBorders>
              <w:top w:val="single" w:sz="8" w:color="0000FF"/>
            </w:tcBorders>
            <w:gridSpan w:val="14"/>
          </w:tcPr>
          <w:p>
            <w:pPr>
              <w:spacing w:after="0"/>
              <w:rPr>
                <w:sz w:val="13"/>
                <w:szCs w:val="13"/>
                <w:color w:val="auto"/>
              </w:rPr>
            </w:pPr>
          </w:p>
        </w:tc>
        <w:tc>
          <w:tcPr>
            <w:tcW w:w="140" w:type="dxa"/>
            <w:vAlign w:val="bottom"/>
            <w:gridSpan w:val="2"/>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80" w:type="dxa"/>
            <w:vAlign w:val="bottom"/>
            <w:gridSpan w:val="31"/>
          </w:tcPr>
          <w:p>
            <w:pPr>
              <w:spacing w:after="0" w:line="165" w:lineRule="exact"/>
              <w:rPr>
                <w:sz w:val="20"/>
                <w:szCs w:val="20"/>
                <w:color w:val="auto"/>
              </w:rPr>
            </w:pPr>
            <w:r>
              <w:rPr>
                <w:rFonts w:ascii="Arial" w:cs="Arial" w:eastAsia="Arial" w:hAnsi="Arial"/>
                <w:sz w:val="18"/>
                <w:szCs w:val="18"/>
                <w:color w:val="0000FF"/>
              </w:rPr>
              <w:t>amended, as adopted pursuant to Section 302 of the Sarbanes-</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40" w:type="dxa"/>
            <w:vAlign w:val="bottom"/>
            <w:tcBorders>
              <w:top w:val="single" w:sz="8" w:color="0000FF"/>
              <w:bottom w:val="single" w:sz="8" w:color="0000FF"/>
            </w:tcBorders>
            <w:gridSpan w:val="3"/>
          </w:tcPr>
          <w:p>
            <w:pPr>
              <w:spacing w:after="0" w:line="152" w:lineRule="exact"/>
              <w:rPr>
                <w:sz w:val="20"/>
                <w:szCs w:val="20"/>
                <w:color w:val="auto"/>
              </w:rPr>
            </w:pPr>
            <w:r>
              <w:rPr>
                <w:rFonts w:ascii="Arial" w:cs="Arial" w:eastAsia="Arial" w:hAnsi="Arial"/>
                <w:sz w:val="17"/>
                <w:szCs w:val="17"/>
                <w:color w:val="0000FF"/>
              </w:rPr>
              <w:t>Oxley Act of 2002.</w:t>
            </w:r>
          </w:p>
        </w:tc>
        <w:tc>
          <w:tcPr>
            <w:tcW w:w="3560" w:type="dxa"/>
            <w:vAlign w:val="bottom"/>
            <w:tcBorders>
              <w:top w:val="single" w:sz="8" w:color="0000FF"/>
            </w:tcBorders>
            <w:gridSpan w:val="20"/>
          </w:tcPr>
          <w:p>
            <w:pPr>
              <w:spacing w:after="0"/>
              <w:rPr>
                <w:sz w:val="13"/>
                <w:szCs w:val="13"/>
                <w:color w:val="auto"/>
              </w:rPr>
            </w:pPr>
          </w:p>
        </w:tc>
        <w:tc>
          <w:tcPr>
            <w:tcW w:w="280" w:type="dxa"/>
            <w:vAlign w:val="bottom"/>
            <w:gridSpan w:val="8"/>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180" w:type="dxa"/>
            <w:vAlign w:val="bottom"/>
          </w:tcPr>
          <w:p>
            <w:pPr>
              <w:jc w:val="center"/>
              <w:spacing w:after="0" w:line="205" w:lineRule="exact"/>
              <w:rPr>
                <w:sz w:val="20"/>
                <w:szCs w:val="20"/>
                <w:color w:val="auto"/>
              </w:rPr>
            </w:pPr>
            <w:r>
              <w:rPr>
                <w:rFonts w:ascii="Arial" w:cs="Arial" w:eastAsia="Arial" w:hAnsi="Arial"/>
                <w:sz w:val="18"/>
                <w:szCs w:val="18"/>
                <w:color w:val="auto"/>
                <w:w w:val="97"/>
              </w:rPr>
              <w:t>32.1**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gridSpan w:val="31"/>
          </w:tcPr>
          <w:p>
            <w:pPr>
              <w:spacing w:after="0" w:line="205" w:lineRule="exact"/>
              <w:rPr>
                <w:sz w:val="20"/>
                <w:szCs w:val="20"/>
                <w:color w:val="auto"/>
              </w:rPr>
            </w:pPr>
            <w:r>
              <w:rPr>
                <w:rFonts w:ascii="Arial" w:cs="Arial" w:eastAsia="Arial" w:hAnsi="Arial"/>
                <w:sz w:val="18"/>
                <w:szCs w:val="18"/>
                <w:color w:val="0000FF"/>
              </w:rPr>
              <w:t>Certification of Chief Executive Officer pursuant to 18 U.S.C.</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00" w:type="dxa"/>
            <w:vAlign w:val="bottom"/>
            <w:tcBorders>
              <w:top w:val="single" w:sz="8" w:color="0000FF"/>
            </w:tcBorders>
            <w:gridSpan w:val="17"/>
          </w:tcPr>
          <w:p>
            <w:pPr>
              <w:spacing w:after="0" w:line="152" w:lineRule="exact"/>
              <w:rPr>
                <w:sz w:val="20"/>
                <w:szCs w:val="20"/>
                <w:color w:val="auto"/>
              </w:rPr>
            </w:pPr>
            <w:r>
              <w:rPr>
                <w:rFonts w:ascii="Arial" w:cs="Arial" w:eastAsia="Arial" w:hAnsi="Arial"/>
                <w:sz w:val="17"/>
                <w:szCs w:val="17"/>
                <w:color w:val="0000FF"/>
              </w:rPr>
              <w:t>Section 1350, as adopted pursuant to Section 906 of the</w:t>
            </w:r>
          </w:p>
        </w:tc>
        <w:tc>
          <w:tcPr>
            <w:tcW w:w="580" w:type="dxa"/>
            <w:vAlign w:val="bottom"/>
            <w:gridSpan w:val="14"/>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0" w:type="dxa"/>
            <w:vAlign w:val="bottom"/>
            <w:tcBorders>
              <w:top w:val="single" w:sz="8" w:color="0000FF"/>
            </w:tcBorders>
            <w:gridSpan w:val="14"/>
          </w:tcPr>
          <w:p>
            <w:pPr>
              <w:spacing w:after="0" w:line="165" w:lineRule="exact"/>
              <w:rPr>
                <w:sz w:val="20"/>
                <w:szCs w:val="20"/>
                <w:color w:val="auto"/>
              </w:rPr>
            </w:pPr>
            <w:r>
              <w:rPr>
                <w:rFonts w:ascii="Arial" w:cs="Arial" w:eastAsia="Arial" w:hAnsi="Arial"/>
                <w:sz w:val="18"/>
                <w:szCs w:val="18"/>
                <w:color w:val="0000FF"/>
              </w:rPr>
              <w:t>Sarbanes-Oxley Act of 2002.</w:t>
            </w:r>
          </w:p>
        </w:tc>
        <w:tc>
          <w:tcPr>
            <w:tcW w:w="240" w:type="dxa"/>
            <w:vAlign w:val="bottom"/>
            <w:gridSpan w:val="2"/>
          </w:tcPr>
          <w:p>
            <w:pPr>
              <w:spacing w:after="0"/>
              <w:rPr>
                <w:sz w:val="14"/>
                <w:szCs w:val="14"/>
                <w:color w:val="auto"/>
              </w:rPr>
            </w:pPr>
          </w:p>
        </w:tc>
        <w:tc>
          <w:tcPr>
            <w:tcW w:w="640" w:type="dxa"/>
            <w:vAlign w:val="bottom"/>
            <w:gridSpan w:val="15"/>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gridSpan w:val="4"/>
            <w:shd w:val="clear" w:color="auto" w:fill="0000FF"/>
          </w:tcPr>
          <w:p>
            <w:pPr>
              <w:spacing w:after="0" w:line="20" w:lineRule="exact"/>
              <w:rPr>
                <w:sz w:val="1"/>
                <w:szCs w:val="1"/>
                <w:color w:val="auto"/>
              </w:rPr>
            </w:pPr>
          </w:p>
        </w:tc>
        <w:tc>
          <w:tcPr>
            <w:tcW w:w="2400" w:type="dxa"/>
            <w:vAlign w:val="bottom"/>
            <w:gridSpan w:val="12"/>
          </w:tcPr>
          <w:p>
            <w:pPr>
              <w:spacing w:after="0" w:line="20" w:lineRule="exact"/>
              <w:rPr>
                <w:sz w:val="1"/>
                <w:szCs w:val="1"/>
                <w:color w:val="auto"/>
              </w:rPr>
            </w:pPr>
          </w:p>
        </w:tc>
        <w:tc>
          <w:tcPr>
            <w:tcW w:w="640" w:type="dxa"/>
            <w:vAlign w:val="bottom"/>
            <w:gridSpan w:val="1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180" w:type="dxa"/>
            <w:vAlign w:val="bottom"/>
          </w:tcPr>
          <w:p>
            <w:pPr>
              <w:jc w:val="center"/>
              <w:spacing w:after="0" w:line="205" w:lineRule="exact"/>
              <w:rPr>
                <w:sz w:val="20"/>
                <w:szCs w:val="20"/>
                <w:color w:val="auto"/>
              </w:rPr>
            </w:pPr>
            <w:r>
              <w:rPr>
                <w:rFonts w:ascii="Arial" w:cs="Arial" w:eastAsia="Arial" w:hAnsi="Arial"/>
                <w:sz w:val="18"/>
                <w:szCs w:val="18"/>
                <w:color w:val="auto"/>
                <w:w w:val="97"/>
              </w:rPr>
              <w:t>32.2**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80" w:type="dxa"/>
            <w:vAlign w:val="bottom"/>
            <w:gridSpan w:val="31"/>
          </w:tcPr>
          <w:p>
            <w:pPr>
              <w:spacing w:after="0" w:line="205" w:lineRule="exact"/>
              <w:rPr>
                <w:sz w:val="20"/>
                <w:szCs w:val="20"/>
                <w:color w:val="auto"/>
              </w:rPr>
            </w:pPr>
            <w:r>
              <w:rPr>
                <w:rFonts w:ascii="Arial" w:cs="Arial" w:eastAsia="Arial" w:hAnsi="Arial"/>
                <w:sz w:val="18"/>
                <w:szCs w:val="18"/>
                <w:color w:val="0000FF"/>
              </w:rPr>
              <w:t>Certification of Chief Financial Officer pursuant to 18 U.S.C.</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40" w:type="dxa"/>
            <w:vAlign w:val="bottom"/>
            <w:tcBorders>
              <w:top w:val="single" w:sz="8" w:color="0000FF"/>
            </w:tcBorders>
            <w:gridSpan w:val="16"/>
          </w:tcPr>
          <w:p>
            <w:pPr>
              <w:spacing w:after="0" w:line="164" w:lineRule="exact"/>
              <w:rPr>
                <w:sz w:val="20"/>
                <w:szCs w:val="20"/>
                <w:color w:val="auto"/>
              </w:rPr>
            </w:pPr>
            <w:r>
              <w:rPr>
                <w:rFonts w:ascii="Arial" w:cs="Arial" w:eastAsia="Arial" w:hAnsi="Arial"/>
                <w:sz w:val="18"/>
                <w:szCs w:val="18"/>
                <w:u w:val="single" w:color="auto"/>
                <w:color w:val="0000FF"/>
              </w:rPr>
              <w:t>Section 1350, as adopted pursuant to Section 906 of the</w:t>
            </w:r>
          </w:p>
        </w:tc>
        <w:tc>
          <w:tcPr>
            <w:tcW w:w="640" w:type="dxa"/>
            <w:vAlign w:val="bottom"/>
            <w:gridSpan w:val="15"/>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-4298315</wp:posOffset>
            </wp:positionV>
            <wp:extent cx="7134860" cy="1511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3">
                      <a:extLst>
                        <a:ext uri="{28A0092B-C50C-407E-A947-70E740481C1C}"/>
                      </a:extLst>
                    </a:blip>
                    <a:srcRect/>
                    <a:stretch>
                      <a:fillRect/>
                    </a:stretch>
                  </pic:blipFill>
                  <pic:spPr bwMode="auto">
                    <a:xfrm>
                      <a:off x="0" y="0"/>
                      <a:ext cx="7134860" cy="15113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-3886200</wp:posOffset>
            </wp:positionV>
            <wp:extent cx="7134860" cy="1428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4">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-3599815</wp:posOffset>
            </wp:positionV>
            <wp:extent cx="7134860" cy="1428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5">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-3195955</wp:posOffset>
            </wp:positionV>
            <wp:extent cx="7134860" cy="3702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6">
                      <a:extLst>
                        <a:ext uri="{28A0092B-C50C-407E-A947-70E740481C1C}"/>
                      </a:extLst>
                    </a:blip>
                    <a:srcRect/>
                    <a:stretch>
                      <a:fillRect/>
                    </a:stretch>
                  </pic:blipFill>
                  <pic:spPr bwMode="auto">
                    <a:xfrm>
                      <a:off x="0" y="0"/>
                      <a:ext cx="7134860" cy="3702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-2564765</wp:posOffset>
            </wp:positionV>
            <wp:extent cx="7134860" cy="4794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7">
                      <a:extLst>
                        <a:ext uri="{28A0092B-C50C-407E-A947-70E740481C1C}"/>
                      </a:extLst>
                    </a:blip>
                    <a:srcRect/>
                    <a:stretch>
                      <a:fillRect/>
                    </a:stretch>
                  </pic:blipFill>
                  <pic:spPr bwMode="auto">
                    <a:xfrm>
                      <a:off x="0" y="0"/>
                      <a:ext cx="7134860" cy="47942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-1824355</wp:posOffset>
            </wp:positionV>
            <wp:extent cx="7134860" cy="260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8">
                      <a:extLst>
                        <a:ext uri="{28A0092B-C50C-407E-A947-70E740481C1C}"/>
                      </a:extLst>
                    </a:blip>
                    <a:srcRect/>
                    <a:stretch>
                      <a:fillRect/>
                    </a:stretch>
                  </pic:blipFill>
                  <pic:spPr bwMode="auto">
                    <a:xfrm>
                      <a:off x="0" y="0"/>
                      <a:ext cx="7134860" cy="260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-1083945</wp:posOffset>
            </wp:positionV>
            <wp:extent cx="7134860" cy="4794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9">
                      <a:extLst>
                        <a:ext uri="{28A0092B-C50C-407E-A947-70E740481C1C}"/>
                      </a:extLst>
                    </a:blip>
                    <a:srcRect/>
                    <a:stretch>
                      <a:fillRect/>
                    </a:stretch>
                  </pic:blipFill>
                  <pic:spPr bwMode="auto">
                    <a:xfrm>
                      <a:off x="0" y="0"/>
                      <a:ext cx="7134860" cy="47942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-234315</wp:posOffset>
            </wp:positionV>
            <wp:extent cx="7134860" cy="3702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0">
                      <a:extLst>
                        <a:ext uri="{28A0092B-C50C-407E-A947-70E740481C1C}"/>
                      </a:extLst>
                    </a:blip>
                    <a:srcRect/>
                    <a:stretch>
                      <a:fillRect/>
                    </a:stretch>
                  </pic:blipFill>
                  <pic:spPr bwMode="auto">
                    <a:xfrm>
                      <a:off x="0" y="0"/>
                      <a:ext cx="7134860" cy="370205"/>
                    </a:xfrm>
                    <a:prstGeom prst="rect">
                      <a:avLst/>
                    </a:prstGeom>
                    <a:noFill/>
                  </pic:spPr>
                </pic:pic>
              </a:graphicData>
            </a:graphic>
          </wp:anchor>
        </w:drawing>
      </w:r>
    </w:p>
    <w:p>
      <w:pPr>
        <w:ind w:left="1300"/>
        <w:spacing w:after="0"/>
        <w:rPr>
          <w:sz w:val="20"/>
          <w:szCs w:val="20"/>
          <w:color w:val="auto"/>
        </w:rPr>
      </w:pPr>
      <w:r>
        <w:rPr>
          <w:rFonts w:ascii="Arial" w:cs="Arial" w:eastAsia="Arial" w:hAnsi="Arial"/>
          <w:sz w:val="18"/>
          <w:szCs w:val="18"/>
          <w:u w:val="single" w:color="auto"/>
          <w:color w:val="0000FF"/>
        </w:rPr>
        <w:t>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Filed</w:t>
      </w:r>
    </w:p>
    <w:p>
      <w:pPr>
        <w:jc w:val="center"/>
        <w:spacing w:after="0"/>
        <w:rPr>
          <w:sz w:val="20"/>
          <w:szCs w:val="20"/>
          <w:color w:val="auto"/>
        </w:rPr>
      </w:pPr>
      <w:r>
        <w:rPr>
          <w:rFonts w:ascii="Arial" w:cs="Arial" w:eastAsia="Arial" w:hAnsi="Arial"/>
          <w:sz w:val="17"/>
          <w:szCs w:val="17"/>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19685</wp:posOffset>
            </wp:positionV>
            <wp:extent cx="72326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2">
                      <a:extLst>
                        <a:ext uri="{28A0092B-C50C-407E-A947-70E740481C1C}"/>
                      </a:extLst>
                    </a:blip>
                    <a:srcRect/>
                    <a:stretch>
                      <a:fillRect/>
                    </a:stretch>
                  </pic:blipFill>
                  <pic:spPr bwMode="auto">
                    <a:xfrm>
                      <a:off x="0" y="0"/>
                      <a:ext cx="7232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X</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4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4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X</w:t>
      </w:r>
    </w:p>
    <w:p>
      <w:pPr>
        <w:spacing w:after="0" w:line="37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10000" w:space="300"/>
            <w:col w:w="740"/>
          </w:cols>
          <w:pgMar w:left="320" w:top="1440" w:right="539" w:bottom="1440" w:gutter="0" w:footer="0" w:header="0"/>
        </w:sectPr>
      </w:pPr>
    </w:p>
    <w:bookmarkStart w:id="87" w:name="page88"/>
    <w:bookmarkEnd w:id="87"/>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3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7"/>
              </w:rPr>
              <w:t>Exhibit No.</w:t>
            </w:r>
          </w:p>
        </w:tc>
        <w:tc>
          <w:tcPr>
            <w:tcW w:w="5320" w:type="dxa"/>
            <w:vAlign w:val="bottom"/>
            <w:gridSpan w:val="2"/>
          </w:tcPr>
          <w:p>
            <w:pPr>
              <w:ind w:left="3680"/>
              <w:spacing w:after="0"/>
              <w:rPr>
                <w:sz w:val="20"/>
                <w:szCs w:val="20"/>
                <w:color w:val="auto"/>
              </w:rPr>
            </w:pPr>
            <w:r>
              <w:rPr>
                <w:rFonts w:ascii="Arial" w:cs="Arial" w:eastAsia="Arial" w:hAnsi="Arial"/>
                <w:sz w:val="18"/>
                <w:szCs w:val="18"/>
                <w:b w:val="1"/>
                <w:bCs w:val="1"/>
                <w:color w:val="auto"/>
              </w:rPr>
              <w:t>EXHIBIT INDEX</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Filed</w:t>
            </w:r>
          </w:p>
        </w:tc>
        <w:tc>
          <w:tcPr>
            <w:tcW w:w="0" w:type="dxa"/>
            <w:vAlign w:val="bottom"/>
          </w:tcPr>
          <w:p>
            <w:pPr>
              <w:spacing w:after="0"/>
              <w:rPr>
                <w:sz w:val="1"/>
                <w:szCs w:val="1"/>
                <w:color w:val="auto"/>
              </w:rPr>
            </w:pPr>
          </w:p>
        </w:tc>
      </w:tr>
      <w:tr>
        <w:trPr>
          <w:trHeight w:val="159"/>
        </w:trPr>
        <w:tc>
          <w:tcPr>
            <w:tcW w:w="1300" w:type="dxa"/>
            <w:vAlign w:val="bottom"/>
            <w:gridSpan w:val="2"/>
            <w:vMerge w:val="continue"/>
          </w:tcPr>
          <w:p>
            <w:pPr>
              <w:spacing w:after="0"/>
              <w:rPr>
                <w:sz w:val="13"/>
                <w:szCs w:val="13"/>
                <w:color w:val="auto"/>
              </w:rPr>
            </w:pPr>
          </w:p>
        </w:tc>
        <w:tc>
          <w:tcPr>
            <w:tcW w:w="5220" w:type="dxa"/>
            <w:vAlign w:val="bottom"/>
            <w:vMerge w:val="restart"/>
          </w:tcPr>
          <w:p>
            <w:pPr>
              <w:ind w:left="1800"/>
              <w:spacing w:after="0"/>
              <w:rPr>
                <w:sz w:val="20"/>
                <w:szCs w:val="20"/>
                <w:color w:val="auto"/>
              </w:rPr>
            </w:pPr>
            <w:r>
              <w:rPr>
                <w:rFonts w:ascii="Arial" w:cs="Arial" w:eastAsia="Arial" w:hAnsi="Arial"/>
                <w:sz w:val="18"/>
                <w:szCs w:val="18"/>
                <w:b w:val="1"/>
                <w:bCs w:val="1"/>
                <w:color w:val="auto"/>
              </w:rPr>
              <w:t>Exhibit Description</w:t>
            </w:r>
          </w:p>
        </w:tc>
        <w:tc>
          <w:tcPr>
            <w:tcW w:w="100" w:type="dxa"/>
            <w:vAlign w:val="bottom"/>
            <w:vMerge w:val="restart"/>
          </w:tcPr>
          <w:p>
            <w:pPr>
              <w:spacing w:after="0"/>
              <w:rPr>
                <w:sz w:val="13"/>
                <w:szCs w:val="13"/>
                <w:color w:val="auto"/>
              </w:rPr>
            </w:pPr>
          </w:p>
        </w:tc>
        <w:tc>
          <w:tcPr>
            <w:tcW w:w="3380" w:type="dxa"/>
            <w:vAlign w:val="bottom"/>
            <w:gridSpan w:val="5"/>
            <w:vMerge w:val="restart"/>
          </w:tcPr>
          <w:p>
            <w:pPr>
              <w:ind w:left="560"/>
              <w:spacing w:after="0"/>
              <w:rPr>
                <w:sz w:val="20"/>
                <w:szCs w:val="20"/>
                <w:color w:val="auto"/>
              </w:rPr>
            </w:pPr>
            <w:r>
              <w:rPr>
                <w:rFonts w:ascii="Arial" w:cs="Arial" w:eastAsia="Arial" w:hAnsi="Arial"/>
                <w:sz w:val="18"/>
                <w:szCs w:val="18"/>
                <w:b w:val="1"/>
                <w:bCs w:val="1"/>
                <w:color w:val="auto"/>
              </w:rPr>
              <w:t>Incorporated by Reference</w:t>
            </w:r>
          </w:p>
        </w:tc>
        <w:tc>
          <w:tcPr>
            <w:tcW w:w="10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11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22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3380" w:type="dxa"/>
            <w:vAlign w:val="bottom"/>
            <w:tcBorders>
              <w:bottom w:val="single" w:sz="8" w:color="auto"/>
            </w:tcBorders>
            <w:gridSpan w:val="5"/>
            <w:vMerge w:val="continue"/>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Herewith</w:t>
            </w:r>
          </w:p>
        </w:tc>
        <w:tc>
          <w:tcPr>
            <w:tcW w:w="0" w:type="dxa"/>
            <w:vAlign w:val="bottom"/>
          </w:tcPr>
          <w:p>
            <w:pPr>
              <w:spacing w:after="0"/>
              <w:rPr>
                <w:sz w:val="1"/>
                <w:szCs w:val="1"/>
                <w:color w:val="auto"/>
              </w:rPr>
            </w:pPr>
          </w:p>
        </w:tc>
      </w:tr>
      <w:tr>
        <w:trPr>
          <w:trHeight w:val="218"/>
        </w:trPr>
        <w:tc>
          <w:tcPr>
            <w:tcW w:w="1180" w:type="dxa"/>
            <w:vAlign w:val="bottom"/>
            <w:vMerge w:val="restart"/>
          </w:tcPr>
          <w:p>
            <w:pPr>
              <w:jc w:val="right"/>
              <w:ind w:right="352"/>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5320" w:type="dxa"/>
            <w:vAlign w:val="bottom"/>
            <w:gridSpan w:val="2"/>
            <w:vMerge w:val="restart"/>
          </w:tcPr>
          <w:p>
            <w:pPr>
              <w:spacing w:after="0"/>
              <w:rPr>
                <w:sz w:val="20"/>
                <w:szCs w:val="20"/>
                <w:color w:val="auto"/>
              </w:rPr>
            </w:pPr>
            <w:r>
              <w:rPr>
                <w:rFonts w:ascii="Arial" w:cs="Arial" w:eastAsia="Arial" w:hAnsi="Arial"/>
                <w:sz w:val="18"/>
                <w:szCs w:val="18"/>
                <w:color w:val="auto"/>
              </w:rPr>
              <w:t>The following financial statements from the Company's Quarterly</w:t>
            </w:r>
          </w:p>
        </w:tc>
        <w:tc>
          <w:tcPr>
            <w:tcW w:w="920" w:type="dxa"/>
            <w:vAlign w:val="bottom"/>
            <w:gridSpan w:val="2"/>
          </w:tcPr>
          <w:p>
            <w:pPr>
              <w:ind w:left="180"/>
              <w:spacing w:after="0"/>
              <w:rPr>
                <w:sz w:val="20"/>
                <w:szCs w:val="20"/>
                <w:color w:val="auto"/>
              </w:rPr>
            </w:pPr>
            <w:r>
              <w:rPr>
                <w:rFonts w:ascii="Arial" w:cs="Arial" w:eastAsia="Arial" w:hAnsi="Arial"/>
                <w:sz w:val="18"/>
                <w:szCs w:val="18"/>
                <w:b w:val="1"/>
                <w:bCs w:val="1"/>
                <w:color w:val="auto"/>
              </w:rPr>
              <w:t>Form</w:t>
            </w:r>
          </w:p>
        </w:tc>
        <w:tc>
          <w:tcPr>
            <w:tcW w:w="1440" w:type="dxa"/>
            <w:vAlign w:val="bottom"/>
            <w:gridSpan w:val="2"/>
          </w:tcPr>
          <w:p>
            <w:pPr>
              <w:ind w:left="480"/>
              <w:spacing w:after="0"/>
              <w:rPr>
                <w:sz w:val="20"/>
                <w:szCs w:val="20"/>
                <w:color w:val="auto"/>
              </w:rPr>
            </w:pPr>
            <w:r>
              <w:rPr>
                <w:rFonts w:ascii="Arial" w:cs="Arial" w:eastAsia="Arial" w:hAnsi="Arial"/>
                <w:sz w:val="18"/>
                <w:szCs w:val="18"/>
                <w:b w:val="1"/>
                <w:bCs w:val="1"/>
                <w:color w:val="auto"/>
              </w:rPr>
              <w:t>Date</w:t>
            </w:r>
          </w:p>
        </w:tc>
        <w:tc>
          <w:tcPr>
            <w:tcW w:w="1020" w:type="dxa"/>
            <w:vAlign w:val="bottom"/>
          </w:tcPr>
          <w:p>
            <w:pPr>
              <w:ind w:left="18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19"/>
                <w:szCs w:val="19"/>
                <w:color w:val="auto"/>
              </w:rPr>
            </w:pPr>
          </w:p>
        </w:tc>
        <w:tc>
          <w:tcPr>
            <w:tcW w:w="1140" w:type="dxa"/>
            <w:vAlign w:val="bottom"/>
            <w:vMerge w:val="restart"/>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52"/>
        </w:trPr>
        <w:tc>
          <w:tcPr>
            <w:tcW w:w="11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5320" w:type="dxa"/>
            <w:vAlign w:val="bottom"/>
            <w:gridSpan w:val="2"/>
            <w:vMerge w:val="continue"/>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320" w:type="dxa"/>
            <w:vAlign w:val="bottom"/>
            <w:gridSpan w:val="2"/>
          </w:tcPr>
          <w:p>
            <w:pPr>
              <w:spacing w:after="0" w:line="198" w:lineRule="exact"/>
              <w:rPr>
                <w:sz w:val="20"/>
                <w:szCs w:val="20"/>
                <w:color w:val="auto"/>
              </w:rPr>
            </w:pPr>
            <w:r>
              <w:rPr>
                <w:rFonts w:ascii="Arial" w:cs="Arial" w:eastAsia="Arial" w:hAnsi="Arial"/>
                <w:sz w:val="18"/>
                <w:szCs w:val="18"/>
                <w:color w:val="auto"/>
              </w:rPr>
              <w:t>Report on Form 10-Q for the quarter ended March 29, 2025</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300"/>
        <w:spacing w:after="0" w:line="199" w:lineRule="auto"/>
        <w:rPr>
          <w:sz w:val="20"/>
          <w:szCs w:val="20"/>
          <w:color w:val="auto"/>
        </w:rPr>
      </w:pPr>
      <w:r>
        <w:rPr>
          <w:rFonts w:ascii="Arial" w:cs="Arial" w:eastAsia="Arial" w:hAnsi="Arial"/>
          <w:sz w:val="18"/>
          <w:szCs w:val="18"/>
          <w:color w:val="auto"/>
        </w:rPr>
        <w:t>formatted in Inline XBRL: (i) Condensed Consolidated Balance</w:t>
      </w:r>
    </w:p>
    <w:p>
      <w:pPr>
        <w:ind w:left="1300"/>
        <w:spacing w:after="0" w:line="200" w:lineRule="auto"/>
        <w:rPr>
          <w:sz w:val="20"/>
          <w:szCs w:val="20"/>
          <w:color w:val="auto"/>
        </w:rPr>
      </w:pPr>
      <w:r>
        <w:rPr>
          <w:rFonts w:ascii="Arial" w:cs="Arial" w:eastAsia="Arial" w:hAnsi="Arial"/>
          <w:sz w:val="18"/>
          <w:szCs w:val="18"/>
          <w:color w:val="auto"/>
        </w:rPr>
        <w:t>Sheets, (ii) Condensed Consolidated Statements of Operations,</w:t>
      </w:r>
    </w:p>
    <w:p>
      <w:pPr>
        <w:ind w:left="1600" w:hanging="291"/>
        <w:spacing w:after="0" w:line="215" w:lineRule="auto"/>
        <w:tabs>
          <w:tab w:leader="none" w:pos="1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Condensed Consolidated Statements of Comprehensive Loss,</w:t>
      </w:r>
    </w:p>
    <w:p>
      <w:pPr>
        <w:ind w:left="1600" w:hanging="291"/>
        <w:spacing w:after="0" w:line="199" w:lineRule="auto"/>
        <w:tabs>
          <w:tab w:leader="none" w:pos="16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Condensed Consolidated Statements of Stockholders' Deficit,</w:t>
      </w:r>
    </w:p>
    <w:p>
      <w:pPr>
        <w:ind w:left="1300" w:right="4900" w:firstLine="9"/>
        <w:spacing w:after="0" w:line="234" w:lineRule="auto"/>
        <w:tabs>
          <w:tab w:leader="none" w:pos="1555"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Condensed Consolidated Statements of Cash Flows, and (vi) Notes to Unaudited Condensed Consolidated Financial Statements, tagged as blocks of text and including detailed tags.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7134860" cy="260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3">
                      <a:extLst>
                        <a:ext uri="{28A0092B-C50C-407E-A947-70E740481C1C}"/>
                      </a:extLst>
                    </a:blip>
                    <a:srcRect/>
                    <a:stretch>
                      <a:fillRect/>
                    </a:stretch>
                  </pic:blipFill>
                  <pic:spPr bwMode="auto">
                    <a:xfrm>
                      <a:off x="0" y="0"/>
                      <a:ext cx="7134860" cy="260985"/>
                    </a:xfrm>
                    <a:prstGeom prst="rect">
                      <a:avLst/>
                    </a:prstGeom>
                    <a:noFill/>
                  </pic:spPr>
                </pic:pic>
              </a:graphicData>
            </a:graphic>
          </wp:anchor>
        </w:drawing>
      </w:r>
    </w:p>
    <w:p>
      <w:pPr>
        <w:ind w:left="1300" w:right="500" w:hanging="859"/>
        <w:spacing w:after="0"/>
        <w:tabs>
          <w:tab w:leader="none" w:pos="12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X contained in Exhibit 101)</w:t>
      </w:r>
    </w:p>
    <w:p>
      <w:pPr>
        <w:spacing w:after="0" w:line="197" w:lineRule="exact"/>
        <w:rPr>
          <w:sz w:val="20"/>
          <w:szCs w:val="20"/>
          <w:color w:val="auto"/>
        </w:rPr>
      </w:pPr>
    </w:p>
    <w:p>
      <w:pPr>
        <w:ind w:left="80"/>
        <w:spacing w:after="0"/>
        <w:rPr>
          <w:sz w:val="20"/>
          <w:szCs w:val="20"/>
          <w:color w:val="auto"/>
        </w:rPr>
      </w:pPr>
      <w:r>
        <w:rPr>
          <w:rFonts w:ascii="Arial" w:cs="Arial" w:eastAsia="Arial" w:hAnsi="Arial"/>
          <w:sz w:val="18"/>
          <w:szCs w:val="18"/>
          <w:color w:val="auto"/>
        </w:rPr>
        <w:t>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wp:posOffset>
            </wp:positionV>
            <wp:extent cx="7134860" cy="10687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4">
                      <a:extLst>
                        <a:ext uri="{28A0092B-C50C-407E-A947-70E740481C1C}"/>
                      </a:extLst>
                    </a:blip>
                    <a:srcRect/>
                    <a:stretch>
                      <a:fillRect/>
                    </a:stretch>
                  </pic:blipFill>
                  <pic:spPr bwMode="auto">
                    <a:xfrm>
                      <a:off x="0" y="0"/>
                      <a:ext cx="7134860" cy="1068705"/>
                    </a:xfrm>
                    <a:prstGeom prst="rect">
                      <a:avLst/>
                    </a:prstGeom>
                    <a:noFill/>
                  </pic:spPr>
                </pic:pic>
              </a:graphicData>
            </a:graphic>
          </wp:anchor>
        </w:drawing>
      </w:r>
    </w:p>
    <w:p>
      <w:pPr>
        <w:spacing w:after="0" w:line="51" w:lineRule="exact"/>
        <w:rPr>
          <w:sz w:val="20"/>
          <w:szCs w:val="20"/>
          <w:color w:val="auto"/>
        </w:rPr>
      </w:pPr>
    </w:p>
    <w:p>
      <w:pPr>
        <w:ind w:left="20" w:right="3720" w:firstLine="4"/>
        <w:spacing w:after="0" w:line="268" w:lineRule="auto"/>
        <w:tabs>
          <w:tab w:leader="none" w:pos="148" w:val="left"/>
        </w:tabs>
        <w:numPr>
          <w:ilvl w:val="0"/>
          <w:numId w:val="37"/>
        </w:numPr>
        <w:rPr>
          <w:rFonts w:ascii="Arial" w:cs="Arial" w:eastAsia="Arial" w:hAnsi="Arial"/>
          <w:sz w:val="14"/>
          <w:szCs w:val="14"/>
          <w:color w:val="auto"/>
        </w:rPr>
      </w:pPr>
      <w:r>
        <w:rPr>
          <w:rFonts w:ascii="Arial" w:cs="Arial" w:eastAsia="Arial" w:hAnsi="Arial"/>
          <w:sz w:val="18"/>
          <w:szCs w:val="18"/>
          <w:color w:val="auto"/>
        </w:rPr>
        <w:t>Certain portions of this exhibit have been redacted pursuant to Regulation S-K, Item 601(a)(6). * Indicates management contract or compensatory plan or arrangement.</w:t>
      </w:r>
    </w:p>
    <w:p>
      <w:pPr>
        <w:spacing w:after="0" w:line="1" w:lineRule="exact"/>
        <w:rPr>
          <w:sz w:val="20"/>
          <w:szCs w:val="20"/>
          <w:color w:val="auto"/>
        </w:rPr>
      </w:pPr>
    </w:p>
    <w:p>
      <w:pPr>
        <w:ind w:left="20" w:right="380" w:firstLine="4"/>
        <w:spacing w:after="0" w:line="220" w:lineRule="auto"/>
        <w:tabs>
          <w:tab w:leader="none" w:pos="207"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This certification is deemed furnished, and not filed, with the Securities and Exchange Commission and is not to be incorporated by reference into any filing of Beyond Meat,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3" w:lineRule="exact"/>
        <w:rPr>
          <w:sz w:val="20"/>
          <w:szCs w:val="20"/>
          <w:color w:val="auto"/>
        </w:rPr>
      </w:pPr>
    </w:p>
    <w:p>
      <w:pPr>
        <w:ind w:left="20" w:right="60" w:firstLine="4"/>
        <w:spacing w:after="0" w:line="230" w:lineRule="auto"/>
        <w:tabs>
          <w:tab w:leader="none" w:pos="172" w:val="left"/>
        </w:tabs>
        <w:numPr>
          <w:ilvl w:val="0"/>
          <w:numId w:val="39"/>
        </w:numPr>
        <w:rPr>
          <w:rFonts w:ascii="Arial" w:cs="Arial" w:eastAsia="Arial" w:hAnsi="Arial"/>
          <w:sz w:val="18"/>
          <w:szCs w:val="18"/>
          <w:color w:val="auto"/>
        </w:rPr>
      </w:pPr>
      <w:r>
        <w:rPr>
          <w:rFonts w:ascii="Arial" w:cs="Arial" w:eastAsia="Arial" w:hAnsi="Arial"/>
          <w:sz w:val="18"/>
          <w:szCs w:val="18"/>
          <w:color w:val="auto"/>
        </w:rPr>
        <w:t>Certain of the schedules and attachments to this exhibit have been omitted pursuant to Regulation S-K, Item 601(a)(5). The registrant hereby undertakes to provide further information regarding such omitted materials to the SEC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169545</wp:posOffset>
            </wp:positionV>
            <wp:extent cx="716026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66" w:lineRule="exact"/>
        <w:rPr>
          <w:sz w:val="20"/>
          <w:szCs w:val="20"/>
          <w:color w:val="auto"/>
        </w:rPr>
      </w:pPr>
    </w:p>
    <w:p>
      <w:pPr>
        <w:ind w:right="380"/>
        <w:spacing w:after="0" w:line="274"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400"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BEYOND MEAT, INC.</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2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May 8, 2025</w:t>
            </w:r>
          </w:p>
        </w:tc>
        <w:tc>
          <w:tcPr>
            <w:tcW w:w="4300" w:type="dxa"/>
            <w:vAlign w:val="bottom"/>
            <w:gridSpan w:val="2"/>
          </w:tcPr>
          <w:p>
            <w:pPr>
              <w:ind w:left="3820"/>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Ethan Brown</w:t>
            </w:r>
          </w:p>
        </w:tc>
      </w:tr>
      <w:tr>
        <w:trPr>
          <w:trHeight w:val="215"/>
        </w:trPr>
        <w:tc>
          <w:tcPr>
            <w:tcW w:w="7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8"/>
              </w:rPr>
              <w:t>Ethan Brown</w:t>
            </w:r>
          </w:p>
        </w:tc>
      </w:tr>
      <w:tr>
        <w:trPr>
          <w:trHeight w:val="225"/>
        </w:trPr>
        <w:tc>
          <w:tcPr>
            <w:tcW w:w="7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8"/>
              </w:rPr>
              <w:t>President and Chief Executive Officer</w:t>
            </w:r>
          </w:p>
        </w:tc>
      </w:tr>
      <w:tr>
        <w:trPr>
          <w:trHeight w:val="232"/>
        </w:trPr>
        <w:tc>
          <w:tcPr>
            <w:tcW w:w="7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8"/>
              </w:rPr>
              <w:t>(Principal Executive Officer)</w:t>
            </w:r>
          </w:p>
        </w:tc>
      </w:tr>
      <w:tr>
        <w:trPr>
          <w:trHeight w:val="607"/>
        </w:trPr>
        <w:tc>
          <w:tcPr>
            <w:tcW w:w="720" w:type="dxa"/>
            <w:vAlign w:val="bottom"/>
          </w:tcPr>
          <w:p>
            <w:pPr>
              <w:spacing w:after="0"/>
              <w:rPr>
                <w:sz w:val="20"/>
                <w:szCs w:val="20"/>
                <w:color w:val="auto"/>
              </w:rPr>
            </w:pPr>
            <w:r>
              <w:rPr>
                <w:rFonts w:ascii="Arial" w:cs="Arial" w:eastAsia="Arial" w:hAnsi="Arial"/>
                <w:sz w:val="18"/>
                <w:szCs w:val="18"/>
                <w:color w:val="auto"/>
              </w:rPr>
              <w:t>Date:</w:t>
            </w:r>
          </w:p>
        </w:tc>
        <w:tc>
          <w:tcPr>
            <w:tcW w:w="2260" w:type="dxa"/>
            <w:vAlign w:val="bottom"/>
          </w:tcPr>
          <w:p>
            <w:pPr>
              <w:ind w:left="20"/>
              <w:spacing w:after="0"/>
              <w:rPr>
                <w:sz w:val="20"/>
                <w:szCs w:val="20"/>
                <w:color w:val="auto"/>
              </w:rPr>
            </w:pPr>
            <w:r>
              <w:rPr>
                <w:rFonts w:ascii="Arial" w:cs="Arial" w:eastAsia="Arial" w:hAnsi="Arial"/>
                <w:sz w:val="18"/>
                <w:szCs w:val="18"/>
                <w:color w:val="auto"/>
              </w:rPr>
              <w:t>May 8, 2025</w:t>
            </w:r>
          </w:p>
        </w:tc>
        <w:tc>
          <w:tcPr>
            <w:tcW w:w="4300" w:type="dxa"/>
            <w:vAlign w:val="bottom"/>
            <w:gridSpan w:val="2"/>
          </w:tcPr>
          <w:p>
            <w:pPr>
              <w:ind w:left="3760"/>
              <w:spacing w:after="0"/>
              <w:rPr>
                <w:sz w:val="20"/>
                <w:szCs w:val="20"/>
                <w:color w:val="auto"/>
              </w:rPr>
            </w:pPr>
            <w:r>
              <w:rPr>
                <w:rFonts w:ascii="Arial" w:cs="Arial" w:eastAsia="Arial" w:hAnsi="Arial"/>
                <w:sz w:val="18"/>
                <w:szCs w:val="18"/>
                <w:color w:val="auto"/>
              </w:rPr>
              <w:t>By:</w:t>
            </w:r>
          </w:p>
        </w:tc>
        <w:tc>
          <w:tcPr>
            <w:tcW w:w="3940" w:type="dxa"/>
            <w:vAlign w:val="bottom"/>
          </w:tcPr>
          <w:p>
            <w:pPr>
              <w:jc w:val="center"/>
              <w:spacing w:after="0"/>
              <w:rPr>
                <w:sz w:val="20"/>
                <w:szCs w:val="20"/>
                <w:color w:val="auto"/>
              </w:rPr>
            </w:pPr>
            <w:r>
              <w:rPr>
                <w:rFonts w:ascii="Arial" w:cs="Arial" w:eastAsia="Arial" w:hAnsi="Arial"/>
                <w:sz w:val="18"/>
                <w:szCs w:val="18"/>
                <w:color w:val="auto"/>
                <w:w w:val="98"/>
              </w:rPr>
              <w:t>/s/ Lubi Kutua</w:t>
            </w:r>
          </w:p>
        </w:tc>
      </w:tr>
      <w:tr>
        <w:trPr>
          <w:trHeight w:val="215"/>
        </w:trPr>
        <w:tc>
          <w:tcPr>
            <w:tcW w:w="720" w:type="dxa"/>
            <w:vAlign w:val="bottom"/>
          </w:tcPr>
          <w:p>
            <w:pPr>
              <w:spacing w:after="0"/>
              <w:rPr>
                <w:sz w:val="18"/>
                <w:szCs w:val="18"/>
                <w:color w:val="auto"/>
              </w:rPr>
            </w:pPr>
          </w:p>
        </w:tc>
        <w:tc>
          <w:tcPr>
            <w:tcW w:w="2260" w:type="dxa"/>
            <w:vAlign w:val="bottom"/>
            <w:tcBorders>
              <w:top w:val="single" w:sz="8" w:color="auto"/>
            </w:tcBorders>
          </w:tcPr>
          <w:p>
            <w:pPr>
              <w:spacing w:after="0"/>
              <w:rPr>
                <w:sz w:val="18"/>
                <w:szCs w:val="18"/>
                <w:color w:val="auto"/>
              </w:rPr>
            </w:pPr>
          </w:p>
        </w:tc>
        <w:tc>
          <w:tcPr>
            <w:tcW w:w="42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Lubi Kutua</w:t>
            </w:r>
          </w:p>
        </w:tc>
      </w:tr>
      <w:tr>
        <w:trPr>
          <w:trHeight w:val="225"/>
        </w:trPr>
        <w:tc>
          <w:tcPr>
            <w:tcW w:w="7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7"/>
              </w:rPr>
              <w:t>Chief Financial Officer, Treasurer</w:t>
            </w:r>
          </w:p>
        </w:tc>
      </w:tr>
      <w:tr>
        <w:trPr>
          <w:trHeight w:val="232"/>
        </w:trPr>
        <w:tc>
          <w:tcPr>
            <w:tcW w:w="7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98"/>
              </w:rPr>
              <w:t>(Principal Financial Officer)</w:t>
            </w:r>
          </w:p>
        </w:tc>
      </w:tr>
      <w:tr>
        <w:trPr>
          <w:trHeight w:val="954"/>
        </w:trPr>
        <w:tc>
          <w:tcPr>
            <w:tcW w:w="7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240" w:type="dxa"/>
            <w:vAlign w:val="bottom"/>
          </w:tcPr>
          <w:p>
            <w:pPr>
              <w:jc w:val="right"/>
              <w:ind w:right="1432"/>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24"/>
                <w:szCs w:val="24"/>
                <w:color w:val="auto"/>
              </w:rPr>
            </w:pPr>
          </w:p>
        </w:tc>
        <w:tc>
          <w:tcPr>
            <w:tcW w:w="3940" w:type="dxa"/>
            <w:vAlign w:val="bottom"/>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10.4</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BEYOND MEAT, INC.</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INDEMNIFICATION AGREEMENT</w:t>
      </w:r>
    </w:p>
    <w:p>
      <w:pPr>
        <w:spacing w:after="0" w:line="200" w:lineRule="exact"/>
        <w:rPr>
          <w:sz w:val="20"/>
          <w:szCs w:val="20"/>
          <w:color w:val="auto"/>
        </w:rPr>
      </w:pPr>
    </w:p>
    <w:p>
      <w:pPr>
        <w:spacing w:after="0" w:line="23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Indemnification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_______________, 2025 by and between Beyond Meat, Inc., 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________________ (“</w:t>
      </w:r>
      <w:r>
        <w:rPr>
          <w:rFonts w:ascii="Arial" w:cs="Arial" w:eastAsia="Arial" w:hAnsi="Arial"/>
          <w:sz w:val="18"/>
          <w:szCs w:val="18"/>
          <w:u w:val="single" w:color="auto"/>
          <w:color w:val="auto"/>
        </w:rPr>
        <w:t>Indemnitee</w:t>
      </w:r>
      <w:r>
        <w:rPr>
          <w:rFonts w:ascii="Arial" w:cs="Arial" w:eastAsia="Arial" w:hAnsi="Arial"/>
          <w:sz w:val="18"/>
          <w:szCs w:val="18"/>
          <w:color w:val="auto"/>
        </w:rPr>
        <w: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19" w:lineRule="exact"/>
        <w:rPr>
          <w:sz w:val="20"/>
          <w:szCs w:val="20"/>
          <w:color w:val="auto"/>
        </w:rPr>
      </w:pPr>
    </w:p>
    <w:p>
      <w:pPr>
        <w:jc w:val="both"/>
        <w:ind w:firstLine="636"/>
        <w:spacing w:after="0" w:line="249" w:lineRule="auto"/>
        <w:rPr>
          <w:sz w:val="20"/>
          <w:szCs w:val="20"/>
          <w:color w:val="auto"/>
        </w:rPr>
      </w:pPr>
      <w:r>
        <w:rPr>
          <w:rFonts w:ascii="Arial" w:cs="Arial" w:eastAsia="Arial" w:hAnsi="Arial"/>
          <w:sz w:val="18"/>
          <w:szCs w:val="18"/>
          <w:color w:val="auto"/>
        </w:rPr>
        <w:t>The Company and Indemnitee recognize the increasing difficulty in obtaining liability insurance for directors, officers and key employees, the significant increases in the cost of such insurance and the general reductions in the coverage of such insurance. The Company and Indemnitee further recognize the substantial increase in corporate litigation in general, subjecting directors, officers and key employees to expensive litigation risks at the same time as the availability and coverage of liability insurance has been severely limited. Indemnitee does not regard the current protection available as adequate under the present circumstances, and Indemnitee may not be willing to serve in Indemnitee’s current capacity with the Company without additional protection. The Company desires to attract and retain the services of highly qualified individuals, such as Indemnitee, and to indemnify its directors, officers and key employees so as to provide them with the maximum protection permitted by law.</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19" w:lineRule="exact"/>
        <w:rPr>
          <w:sz w:val="20"/>
          <w:szCs w:val="20"/>
          <w:color w:val="auto"/>
        </w:rPr>
      </w:pPr>
    </w:p>
    <w:p>
      <w:pPr>
        <w:jc w:val="both"/>
        <w:ind w:firstLine="636"/>
        <w:spacing w:after="0" w:line="274" w:lineRule="auto"/>
        <w:rPr>
          <w:sz w:val="20"/>
          <w:szCs w:val="20"/>
          <w:color w:val="auto"/>
        </w:rPr>
      </w:pPr>
      <w:r>
        <w:rPr>
          <w:rFonts w:ascii="Arial" w:cs="Arial" w:eastAsia="Arial" w:hAnsi="Arial"/>
          <w:sz w:val="18"/>
          <w:szCs w:val="18"/>
          <w:color w:val="auto"/>
        </w:rPr>
        <w:t>In consideration of the mutual promises made in this Agreement, and for other good and valuable consideration, the receipt and sufficiency of which is hereby acknowledged, the Company and Indemnitee hereby agree as follows:</w:t>
      </w:r>
    </w:p>
    <w:p>
      <w:pPr>
        <w:spacing w:after="0" w:line="161" w:lineRule="exact"/>
        <w:rPr>
          <w:sz w:val="20"/>
          <w:szCs w:val="20"/>
          <w:color w:val="auto"/>
        </w:rPr>
      </w:pPr>
    </w:p>
    <w:p>
      <w:pPr>
        <w:ind w:left="1260" w:hanging="618"/>
        <w:spacing w:after="0"/>
        <w:tabs>
          <w:tab w:leader="none" w:pos="1260" w:val="left"/>
        </w:tabs>
        <w:numPr>
          <w:ilvl w:val="0"/>
          <w:numId w:val="40"/>
        </w:numPr>
        <w:rPr>
          <w:rFonts w:ascii="Arial" w:cs="Arial" w:eastAsia="Arial" w:hAnsi="Arial"/>
          <w:sz w:val="18"/>
          <w:szCs w:val="18"/>
          <w:color w:val="auto"/>
        </w:rPr>
      </w:pPr>
      <w:r>
        <w:rPr>
          <w:rFonts w:ascii="Arial" w:cs="Arial" w:eastAsia="Arial" w:hAnsi="Arial"/>
          <w:sz w:val="18"/>
          <w:szCs w:val="18"/>
          <w:b w:val="1"/>
          <w:bCs w:val="1"/>
          <w:u w:val="single" w:color="auto"/>
          <w:color w:val="auto"/>
        </w:rPr>
        <w:t>Indemnification</w:t>
      </w:r>
      <w:r>
        <w:rPr>
          <w:rFonts w:ascii="Arial" w:cs="Arial" w:eastAsia="Arial" w:hAnsi="Arial"/>
          <w:sz w:val="18"/>
          <w:szCs w:val="18"/>
          <w:b w:val="1"/>
          <w:bCs w:val="1"/>
          <w:color w:val="auto"/>
        </w:rPr>
        <w:t>.</w:t>
      </w:r>
    </w:p>
    <w:p>
      <w:pPr>
        <w:spacing w:after="0" w:line="217" w:lineRule="exact"/>
        <w:rPr>
          <w:rFonts w:ascii="Arial" w:cs="Arial" w:eastAsia="Arial" w:hAnsi="Arial"/>
          <w:sz w:val="18"/>
          <w:szCs w:val="18"/>
          <w:color w:val="auto"/>
        </w:rPr>
      </w:pPr>
    </w:p>
    <w:p>
      <w:pPr>
        <w:jc w:val="both"/>
        <w:ind w:firstLine="1278"/>
        <w:spacing w:after="0" w:line="250" w:lineRule="auto"/>
        <w:tabs>
          <w:tab w:leader="none" w:pos="1898" w:val="left"/>
        </w:tabs>
        <w:numPr>
          <w:ilvl w:val="1"/>
          <w:numId w:val="40"/>
        </w:numPr>
        <w:rPr>
          <w:rFonts w:ascii="Arial" w:cs="Arial" w:eastAsia="Arial" w:hAnsi="Arial"/>
          <w:sz w:val="18"/>
          <w:szCs w:val="18"/>
          <w:color w:val="auto"/>
        </w:rPr>
      </w:pPr>
      <w:r>
        <w:rPr>
          <w:rFonts w:ascii="Arial" w:cs="Arial" w:eastAsia="Arial" w:hAnsi="Arial"/>
          <w:sz w:val="18"/>
          <w:szCs w:val="18"/>
          <w:b w:val="1"/>
          <w:bCs w:val="1"/>
          <w:u w:val="single" w:color="auto"/>
          <w:color w:val="auto"/>
        </w:rPr>
        <w:t>Third-Party Proceedings</w:t>
      </w:r>
      <w:r>
        <w:rPr>
          <w:rFonts w:ascii="Arial" w:cs="Arial" w:eastAsia="Arial" w:hAnsi="Arial"/>
          <w:sz w:val="18"/>
          <w:szCs w:val="18"/>
          <w:b w:val="1"/>
          <w:bCs w:val="1"/>
          <w:color w:val="auto"/>
        </w:rPr>
        <w:t xml:space="preserve">. </w:t>
      </w:r>
      <w:r>
        <w:rPr>
          <w:rFonts w:ascii="Arial" w:cs="Arial" w:eastAsia="Arial" w:hAnsi="Arial"/>
          <w:sz w:val="18"/>
          <w:szCs w:val="18"/>
          <w:color w:val="auto"/>
        </w:rPr>
        <w:t>To the fullest extent permitted by applicable law, as such may be amended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the Company shall indemnify Indemnitee, if Indemnitee was, is or is threatened to be made a party to or a participant (as a witness or otherwise) in any Proceeding (other than a Proceeding by or in the right of the Company to procure a judgment in the Company’s favor), against all Expenses, judgments, fines, losses, liabilities, penalties, and amounts paid in settlement (if such settlement is approved in advance by the Company, which approval shall not be unreasonably withheld, conditioned or delayed) actually and reasonably incurred by Indemnitee or on Indemnitee’s behalf in connection with such Proceeding if Indemnitee acted in good faith and in a manner Indemnitee reasonably believed to be in or not opposed to the best interests of the Company and, in the case of a criminal Proceeding, had no reasonable cause to believe Indemnitee’s conduct was unlawful.</w:t>
      </w:r>
    </w:p>
    <w:p>
      <w:pPr>
        <w:spacing w:after="0" w:line="183" w:lineRule="exact"/>
        <w:rPr>
          <w:rFonts w:ascii="Arial" w:cs="Arial" w:eastAsia="Arial" w:hAnsi="Arial"/>
          <w:sz w:val="18"/>
          <w:szCs w:val="18"/>
          <w:color w:val="auto"/>
        </w:rPr>
      </w:pPr>
    </w:p>
    <w:p>
      <w:pPr>
        <w:jc w:val="both"/>
        <w:ind w:firstLine="1278"/>
        <w:spacing w:after="0" w:line="267" w:lineRule="auto"/>
        <w:tabs>
          <w:tab w:leader="none" w:pos="1898" w:val="left"/>
        </w:tabs>
        <w:numPr>
          <w:ilvl w:val="1"/>
          <w:numId w:val="40"/>
        </w:numPr>
        <w:rPr>
          <w:rFonts w:ascii="Arial" w:cs="Arial" w:eastAsia="Arial" w:hAnsi="Arial"/>
          <w:sz w:val="17"/>
          <w:szCs w:val="17"/>
          <w:color w:val="auto"/>
        </w:rPr>
      </w:pPr>
      <w:r>
        <w:rPr>
          <w:rFonts w:ascii="Arial" w:cs="Arial" w:eastAsia="Arial" w:hAnsi="Arial"/>
          <w:sz w:val="17"/>
          <w:szCs w:val="17"/>
          <w:b w:val="1"/>
          <w:bCs w:val="1"/>
          <w:u w:val="single" w:color="auto"/>
          <w:color w:val="auto"/>
        </w:rPr>
        <w:t>Proceedings By or in the Right of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To the fullest extent permitted by applicable law, the Company shall</w:t>
      </w:r>
      <w:r>
        <w:rPr>
          <w:rFonts w:ascii="Arial" w:cs="Arial" w:eastAsia="Arial" w:hAnsi="Arial"/>
          <w:sz w:val="17"/>
          <w:szCs w:val="17"/>
          <w:b w:val="1"/>
          <w:bCs w:val="1"/>
          <w:color w:val="auto"/>
        </w:rPr>
        <w:t xml:space="preserve"> </w:t>
      </w:r>
      <w:r>
        <w:rPr>
          <w:rFonts w:ascii="Arial" w:cs="Arial" w:eastAsia="Arial" w:hAnsi="Arial"/>
          <w:sz w:val="17"/>
          <w:szCs w:val="17"/>
          <w:color w:val="auto"/>
        </w:rPr>
        <w:t>indemnify Indemnitee, if Indemnitee was, is or is threatened to be made a party to or a participant (as a witness or otherwise) in any Proceeding by or in the right of the Company to procure a judgment in the Company’s favor, against all Expenses actually and reasonably incurred by Indemnitee in connection with such Proceeding if Indemnitee acted in good faith and in a manner Indemnitee reasonably believed to be in or not opposed to the best interests of the Company, except that no indemnification shall be made in respect of any claim, issue or matter as to which Indemnitee shall have been finally adjudicated by court order or judgment to be liable to the Company unless and only to the extent that the Court of Chancery or the court in which such Proceeding is or was pending shall determine upon application that, in view of all the circumstances of the case, Indemnitee is fairly and reasonably entitled to indemnity for such expenses which such court shall deem proper.</w:t>
      </w:r>
    </w:p>
    <w:p>
      <w:pPr>
        <w:sectPr>
          <w:pgSz w:w="11900" w:h="16838" w:orient="portrait"/>
          <w:cols w:equalWidth="0" w:num="1">
            <w:col w:w="11240"/>
          </w:cols>
          <w:pgMar w:left="320" w:top="1393" w:right="339" w:bottom="1440" w:gutter="0" w:footer="0" w:header="0"/>
        </w:sectPr>
      </w:pPr>
    </w:p>
    <w:bookmarkStart w:id="90" w:name="page91"/>
    <w:bookmarkEnd w:id="90"/>
    <w:p>
      <w:pPr>
        <w:jc w:val="both"/>
        <w:ind w:left="-200" w:firstLine="1278"/>
        <w:spacing w:after="0" w:line="248" w:lineRule="auto"/>
        <w:tabs>
          <w:tab w:leader="none" w:pos="1702" w:val="left"/>
        </w:tabs>
        <w:numPr>
          <w:ilvl w:val="1"/>
          <w:numId w:val="41"/>
        </w:numPr>
        <w:rPr>
          <w:rFonts w:ascii="Arial" w:cs="Arial" w:eastAsia="Arial" w:hAnsi="Arial"/>
          <w:sz w:val="18"/>
          <w:szCs w:val="18"/>
          <w:color w:val="auto"/>
        </w:rPr>
      </w:pPr>
      <w:r>
        <w:rPr>
          <w:rFonts w:ascii="Arial" w:cs="Arial" w:eastAsia="Arial" w:hAnsi="Arial"/>
          <w:sz w:val="18"/>
          <w:szCs w:val="18"/>
          <w:b w:val="1"/>
          <w:bCs w:val="1"/>
          <w:u w:val="single" w:color="auto"/>
          <w:color w:val="auto"/>
        </w:rPr>
        <w:t>Success on the Merits</w:t>
      </w:r>
      <w:r>
        <w:rPr>
          <w:rFonts w:ascii="Arial" w:cs="Arial" w:eastAsia="Arial" w:hAnsi="Arial"/>
          <w:sz w:val="18"/>
          <w:szCs w:val="18"/>
          <w:b w:val="1"/>
          <w:bCs w:val="1"/>
          <w:color w:val="auto"/>
        </w:rPr>
        <w:t xml:space="preserve">. </w:t>
      </w:r>
      <w:r>
        <w:rPr>
          <w:rFonts w:ascii="Arial" w:cs="Arial" w:eastAsia="Arial" w:hAnsi="Arial"/>
          <w:sz w:val="18"/>
          <w:szCs w:val="18"/>
          <w:color w:val="auto"/>
        </w:rPr>
        <w:t>To the fullest extent permitted by applicable law and to the extent that Indemnitee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successful on the merits or otherwise in defense of any Proceeding referred to in Section 1(a) or Section 1(b) or the defense of any claim, issue or matter therein, in whole or in part, the Company shall indemnify Indemnitee against all Expenses actually and reasonably incurred by Indemnitee in connection therewith. Without limiting the generality of the foregoing, if Indemnitee is successful on the merits or otherwise as to one or more but less than all claims, issues or matters in a Proceeding, the Company shall indemnify Indemnitee against all Expenses actually and reasonably incurred by Indemnitee in connection with such successfully resolved claims, issues or matters to the fullest extent permitted by applicable law. If any Proceeding is disposed of on the merits or otherwise (including a disposition without prejudice), without (i) the disposition being adverse to Indemnitee, (ii) an adjudication that Indemnitee was liable to the Company, (iii) a plea of guilty by Indemnitee, (iv) an adjudication that Indemnitee did not act in good faith and in a manner Indemnitee reasonably believed to be in or not opposed to the best interests of the Company, and (v) with respect to any criminal Proceeding, an adjudication that Indemnitee had reasonable cause to believe Indemnitee’s conduct was unlawful, Indemnitee shall be considered for the purposes hereof to have been wholly successful with respect thereto.</w:t>
      </w:r>
    </w:p>
    <w:p>
      <w:pPr>
        <w:spacing w:after="0" w:line="189" w:lineRule="exact"/>
        <w:rPr>
          <w:rFonts w:ascii="Arial" w:cs="Arial" w:eastAsia="Arial" w:hAnsi="Arial"/>
          <w:sz w:val="18"/>
          <w:szCs w:val="18"/>
          <w:color w:val="auto"/>
        </w:rPr>
      </w:pPr>
    </w:p>
    <w:p>
      <w:pPr>
        <w:jc w:val="both"/>
        <w:ind w:left="-200" w:firstLine="1278"/>
        <w:spacing w:after="0" w:line="261" w:lineRule="auto"/>
        <w:tabs>
          <w:tab w:leader="none" w:pos="1698" w:val="left"/>
        </w:tabs>
        <w:numPr>
          <w:ilvl w:val="1"/>
          <w:numId w:val="41"/>
        </w:numPr>
        <w:rPr>
          <w:rFonts w:ascii="Arial" w:cs="Arial" w:eastAsia="Arial" w:hAnsi="Arial"/>
          <w:sz w:val="18"/>
          <w:szCs w:val="18"/>
          <w:color w:val="auto"/>
        </w:rPr>
      </w:pPr>
      <w:r>
        <w:rPr>
          <w:rFonts w:ascii="Arial" w:cs="Arial" w:eastAsia="Arial" w:hAnsi="Arial"/>
          <w:sz w:val="18"/>
          <w:szCs w:val="18"/>
          <w:b w:val="1"/>
          <w:bCs w:val="1"/>
          <w:u w:val="single" w:color="auto"/>
          <w:color w:val="auto"/>
        </w:rPr>
        <w:t>Witness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To the fullest extent permitted by applicable law and to the extent that Indemnitee is a witness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asked to participate in any Proceeding to which Indemnitee is not a party, the Company shall indemnify Indemnitee against all Expenses actually and reasonably incurred by Indemnitee in connection with such Proceeding.</w:t>
      </w:r>
    </w:p>
    <w:p>
      <w:pPr>
        <w:spacing w:after="0" w:line="172" w:lineRule="exact"/>
        <w:rPr>
          <w:rFonts w:ascii="Arial" w:cs="Arial" w:eastAsia="Arial" w:hAnsi="Arial"/>
          <w:sz w:val="18"/>
          <w:szCs w:val="18"/>
          <w:color w:val="auto"/>
        </w:rPr>
      </w:pPr>
    </w:p>
    <w:p>
      <w:pPr>
        <w:ind w:left="1060" w:hanging="618"/>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b w:val="1"/>
          <w:bCs w:val="1"/>
          <w:u w:val="single" w:color="auto"/>
          <w:color w:val="auto"/>
        </w:rPr>
        <w:t>Indemnification Procedure</w:t>
      </w:r>
      <w:r>
        <w:rPr>
          <w:rFonts w:ascii="Arial" w:cs="Arial" w:eastAsia="Arial" w:hAnsi="Arial"/>
          <w:sz w:val="18"/>
          <w:szCs w:val="18"/>
          <w:b w:val="1"/>
          <w:bCs w:val="1"/>
          <w:color w:val="auto"/>
        </w:rPr>
        <w:t>.</w:t>
      </w:r>
    </w:p>
    <w:p>
      <w:pPr>
        <w:spacing w:after="0" w:line="217" w:lineRule="exact"/>
        <w:rPr>
          <w:rFonts w:ascii="Arial" w:cs="Arial" w:eastAsia="Arial" w:hAnsi="Arial"/>
          <w:sz w:val="18"/>
          <w:szCs w:val="18"/>
          <w:color w:val="auto"/>
        </w:rPr>
      </w:pPr>
    </w:p>
    <w:p>
      <w:pPr>
        <w:jc w:val="both"/>
        <w:ind w:left="-200" w:firstLine="1278"/>
        <w:spacing w:after="0" w:line="248" w:lineRule="auto"/>
        <w:tabs>
          <w:tab w:leader="none" w:pos="1698" w:val="left"/>
        </w:tabs>
        <w:numPr>
          <w:ilvl w:val="1"/>
          <w:numId w:val="42"/>
        </w:numPr>
        <w:rPr>
          <w:rFonts w:ascii="Arial" w:cs="Arial" w:eastAsia="Arial" w:hAnsi="Arial"/>
          <w:sz w:val="18"/>
          <w:szCs w:val="18"/>
          <w:color w:val="auto"/>
        </w:rPr>
      </w:pPr>
      <w:r>
        <w:rPr>
          <w:rFonts w:ascii="Arial" w:cs="Arial" w:eastAsia="Arial" w:hAnsi="Arial"/>
          <w:sz w:val="18"/>
          <w:szCs w:val="18"/>
          <w:b w:val="1"/>
          <w:bCs w:val="1"/>
          <w:u w:val="single" w:color="auto"/>
          <w:color w:val="auto"/>
        </w:rPr>
        <w:t>Advancement of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To the fullest extent permitted by applicable law, the Company shall advance all</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actually and reasonably incurred by Indemnitee in connection with a Proceeding within thirty (30) days after receipt by the Company of a statement requesting such advances from time to time, whether prior to or after final disposition of any Proceeding. Such advances shall be unsecured and interest free and shall be made without regard to Indemnitee’s ability to repay the Expenses and without regard to Indemnitee’s ultimate entitlement to indemnification under the other provisions of this Agreement. Indemnitee shall be entitled to continue to receive advancement of Expenses pursuant to this Section 2(a) unless and until the matter of Indemnitee’s entitlement to indemnification hereunder has been finally adjudicated by court order or judgment from which no further right of appeal exists. Indemnitee hereby undertakes to repay such amounts advanced only if, and to the extent that, it ultimately is determined that Indemnitee is not entitled to be indemnified by the Company under the other provisions of this Agreement. Indemnitee shall qualify for advances upon the execution and delivery of this Agreement, which shall constitute the requisite undertaking with respect to repayment of advances made hereunder and no other form of undertaking shall be required to qualify for advances made hereunder other than the execution of this Agreement.</w:t>
      </w:r>
    </w:p>
    <w:p>
      <w:pPr>
        <w:spacing w:after="0" w:line="191" w:lineRule="exact"/>
        <w:rPr>
          <w:rFonts w:ascii="Arial" w:cs="Arial" w:eastAsia="Arial" w:hAnsi="Arial"/>
          <w:sz w:val="18"/>
          <w:szCs w:val="18"/>
          <w:color w:val="auto"/>
        </w:rPr>
      </w:pPr>
    </w:p>
    <w:p>
      <w:pPr>
        <w:jc w:val="both"/>
        <w:ind w:left="-200" w:firstLine="1278"/>
        <w:spacing w:after="0" w:line="249" w:lineRule="auto"/>
        <w:tabs>
          <w:tab w:leader="none" w:pos="1698" w:val="left"/>
        </w:tabs>
        <w:numPr>
          <w:ilvl w:val="1"/>
          <w:numId w:val="42"/>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 and Cooperation by Indemnitee</w:t>
      </w:r>
      <w:r>
        <w:rPr>
          <w:rFonts w:ascii="Arial" w:cs="Arial" w:eastAsia="Arial" w:hAnsi="Arial"/>
          <w:sz w:val="18"/>
          <w:szCs w:val="18"/>
          <w:b w:val="1"/>
          <w:bCs w:val="1"/>
          <w:color w:val="auto"/>
        </w:rPr>
        <w:t xml:space="preserve">. </w:t>
      </w:r>
      <w:r>
        <w:rPr>
          <w:rFonts w:ascii="Arial" w:cs="Arial" w:eastAsia="Arial" w:hAnsi="Arial"/>
          <w:sz w:val="18"/>
          <w:szCs w:val="18"/>
          <w:color w:val="auto"/>
        </w:rPr>
        <w:t>Indemnitee shall promptly notify the Company in writing upon being served</w:t>
      </w:r>
      <w:r>
        <w:rPr>
          <w:rFonts w:ascii="Arial" w:cs="Arial" w:eastAsia="Arial" w:hAnsi="Arial"/>
          <w:sz w:val="18"/>
          <w:szCs w:val="18"/>
          <w:b w:val="1"/>
          <w:bCs w:val="1"/>
          <w:color w:val="auto"/>
        </w:rPr>
        <w:t xml:space="preserve"> </w:t>
      </w:r>
      <w:r>
        <w:rPr>
          <w:rFonts w:ascii="Arial" w:cs="Arial" w:eastAsia="Arial" w:hAnsi="Arial"/>
          <w:sz w:val="18"/>
          <w:szCs w:val="18"/>
          <w:color w:val="auto"/>
        </w:rPr>
        <w:t>with any summons, citation, subpoena, complaint, indictment, information or other document relating to any Proceeding or matter for which indemnification will or could be sought under this Agreement. Such notice to the Company shall include a description of the nature of, and facts underlying, the Proceeding, shall be directed to the Chief Executive Officer of the Company and shall be given in accordance with the provisions of Section 13(d) below. In addition, Indemnitee shall give the Company such additional information and cooperation as the Company may reasonably request, but in no case shall Indemnitee be required to convey any information that would cause Indemnitee to waive any privilege accorded by applicable law. Indemnitee’s failure to so notify, provide information and otherwise cooperate with the Company shall not relieve the Company of any obligation which it may have to Indemnitee under this Agreement, except to the extent that the Company is adversely affected by such failure.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0"/>
          </w:cols>
          <w:pgMar w:left="520" w:top="1393" w:right="339" w:bottom="1440" w:gutter="0" w:footer="0" w:header="0"/>
        </w:sectPr>
      </w:pPr>
    </w:p>
    <w:bookmarkStart w:id="91" w:name="page92"/>
    <w:bookmarkEnd w:id="91"/>
    <w:p>
      <w:pPr>
        <w:ind w:left="1700" w:hanging="622"/>
        <w:spacing w:after="0"/>
        <w:tabs>
          <w:tab w:leader="none" w:pos="1700" w:val="left"/>
        </w:tabs>
        <w:numPr>
          <w:ilvl w:val="0"/>
          <w:numId w:val="43"/>
        </w:numPr>
        <w:rPr>
          <w:rFonts w:ascii="Arial" w:cs="Arial" w:eastAsia="Arial" w:hAnsi="Arial"/>
          <w:sz w:val="18"/>
          <w:szCs w:val="18"/>
          <w:color w:val="auto"/>
        </w:rPr>
      </w:pPr>
      <w:r>
        <w:rPr>
          <w:rFonts w:ascii="Arial" w:cs="Arial" w:eastAsia="Arial" w:hAnsi="Arial"/>
          <w:sz w:val="18"/>
          <w:szCs w:val="18"/>
          <w:b w:val="1"/>
          <w:bCs w:val="1"/>
          <w:u w:val="single" w:color="auto"/>
          <w:color w:val="auto"/>
        </w:rPr>
        <w:t>Determination of Entitlement</w:t>
      </w:r>
      <w:r>
        <w:rPr>
          <w:rFonts w:ascii="Arial" w:cs="Arial" w:eastAsia="Arial" w:hAnsi="Arial"/>
          <w:sz w:val="18"/>
          <w:szCs w:val="18"/>
          <w:b w:val="1"/>
          <w:bCs w:val="1"/>
          <w:color w:val="auto"/>
        </w:rPr>
        <w:t>.</w:t>
      </w:r>
    </w:p>
    <w:p>
      <w:pPr>
        <w:spacing w:after="0" w:line="217" w:lineRule="exact"/>
        <w:rPr>
          <w:rFonts w:ascii="Arial" w:cs="Arial" w:eastAsia="Arial" w:hAnsi="Arial"/>
          <w:sz w:val="18"/>
          <w:szCs w:val="18"/>
          <w:color w:val="auto"/>
        </w:rPr>
      </w:pPr>
    </w:p>
    <w:p>
      <w:pPr>
        <w:ind w:left="-200" w:firstLine="1914"/>
        <w:spacing w:after="0" w:line="276" w:lineRule="auto"/>
        <w:tabs>
          <w:tab w:leader="none" w:pos="2342" w:val="left"/>
        </w:tabs>
        <w:numPr>
          <w:ilvl w:val="1"/>
          <w:numId w:val="43"/>
        </w:numPr>
        <w:rPr>
          <w:rFonts w:ascii="Arial" w:cs="Arial" w:eastAsia="Arial" w:hAnsi="Arial"/>
          <w:sz w:val="18"/>
          <w:szCs w:val="18"/>
          <w:color w:val="auto"/>
        </w:rPr>
      </w:pPr>
      <w:r>
        <w:rPr>
          <w:rFonts w:ascii="Arial" w:cs="Arial" w:eastAsia="Arial" w:hAnsi="Arial"/>
          <w:sz w:val="18"/>
          <w:szCs w:val="18"/>
          <w:b w:val="1"/>
          <w:bCs w:val="1"/>
          <w:u w:val="single" w:color="auto"/>
          <w:color w:val="auto"/>
        </w:rPr>
        <w:t>Final Disposition</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other provision in this Agreement, no determination as to entitlement</w:t>
      </w:r>
      <w:r>
        <w:rPr>
          <w:rFonts w:ascii="Arial" w:cs="Arial" w:eastAsia="Arial" w:hAnsi="Arial"/>
          <w:sz w:val="18"/>
          <w:szCs w:val="18"/>
          <w:b w:val="1"/>
          <w:bCs w:val="1"/>
          <w:color w:val="auto"/>
        </w:rPr>
        <w:t xml:space="preserve"> </w:t>
      </w:r>
      <w:r>
        <w:rPr>
          <w:rFonts w:ascii="Arial" w:cs="Arial" w:eastAsia="Arial" w:hAnsi="Arial"/>
          <w:sz w:val="18"/>
          <w:szCs w:val="18"/>
          <w:color w:val="auto"/>
        </w:rPr>
        <w:t>to indemnification under this Agreement shall be required to be made prior to the final disposition of the Proceeding.</w:t>
      </w:r>
    </w:p>
    <w:p>
      <w:pPr>
        <w:spacing w:after="0" w:line="159" w:lineRule="exact"/>
        <w:rPr>
          <w:rFonts w:ascii="Arial" w:cs="Arial" w:eastAsia="Arial" w:hAnsi="Arial"/>
          <w:sz w:val="18"/>
          <w:szCs w:val="18"/>
          <w:color w:val="auto"/>
        </w:rPr>
      </w:pPr>
    </w:p>
    <w:p>
      <w:pPr>
        <w:jc w:val="both"/>
        <w:ind w:left="-200" w:firstLine="1914"/>
        <w:spacing w:after="0" w:line="262" w:lineRule="auto"/>
        <w:tabs>
          <w:tab w:leader="none" w:pos="2341" w:val="left"/>
        </w:tabs>
        <w:numPr>
          <w:ilvl w:val="1"/>
          <w:numId w:val="43"/>
        </w:numPr>
        <w:rPr>
          <w:rFonts w:ascii="Arial" w:cs="Arial" w:eastAsia="Arial" w:hAnsi="Arial"/>
          <w:sz w:val="17"/>
          <w:szCs w:val="17"/>
          <w:color w:val="auto"/>
        </w:rPr>
      </w:pPr>
      <w:r>
        <w:rPr>
          <w:rFonts w:ascii="Arial" w:cs="Arial" w:eastAsia="Arial" w:hAnsi="Arial"/>
          <w:sz w:val="17"/>
          <w:szCs w:val="17"/>
          <w:b w:val="1"/>
          <w:bCs w:val="1"/>
          <w:u w:val="single" w:color="auto"/>
          <w:color w:val="auto"/>
        </w:rPr>
        <w:t>Determination and Payment</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foregoing, promptly after receipt of a statement requesting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payment with respect to the indemnification rights set forth in Section 1, the Company shall take the steps necessary to authorize such payment in the manner set forth in Section 145 of the General Corporation Law of Delaware. The Company shall pay any claims made under this Agreement, under any statute or under any provision of the Company’s Certificate of Incorporation or Bylaws providing for indemnification or advancement of Expenses, within thirty (30) days after a written request for payment thereof has first been received by the Company. If such claim is not paid in full within such thirty (30) day-period, Indemnitee may, but need not, at any time thereafter bring an action against the Company in the Delaware Court of Chancery to recover the unpaid amount of the claim. It shall be a defense to any such action (other than an action brought to enforce a claim for advancement of Expenses under Section 2(a)) that Indemnitee has not met the standards of conduct which make it permissible under applicable law for the Company to indemnify Indemnitee for the amount claimed. In making a determination with respect to entitlement to indemnification hereunder, the person or persons or entity making such determination shall presume that Indemnitee is entitled to indemnification under this Agreement, and the Company shall have the burden of proof to overcome that presumption. The termination of any Proceeding by judgment, order, settlement, conviction, or upon a plea of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or its equivalent, shall not, of itself, create a presumption that Indemnitee did not act in good faith and in a manner which Indemnitee reasonably believed to be in or not opposed to the best interests of the Company or, in the case of a criminal Proceeding, that Indemnitee had reasonable cause to believe that Indemnitee’s conduct was unlawful. In addition, it is the parties’ intention that if the Company contests Indemnitee’s right to indemnification, the question of Indemnitee’s right to indemnification shall be for the court to decide, and neither the failure of the Company (including its Board of Directors, any committee or subgroup of the Board of Directors, independent legal counsel or its stockholders) to have made a determination that indemnification of Indemnitee is proper in the circumstances because Indemnitee has met the applicable standard of conduct required by applicable law, nor an actual determination by the Company (including its Board of Directors, any committee or subgroup of the Board of Directors, independent legal counsel or its stockholders) that Indemnitee has not met such applicable standard of conduct, shall create a presumption that Indemnitee has or has not met the applicable standard of conduct. If any requested determination with respect to entitlement to indemnification hereunder has not been made within ninety (90) days after the final disposition of the Proceeding, the requisite determination that Indemnitee is entitled to indemnification shall be deemed to have been made.</w:t>
      </w:r>
    </w:p>
    <w:p>
      <w:pPr>
        <w:spacing w:after="0" w:line="393" w:lineRule="exact"/>
        <w:rPr>
          <w:rFonts w:ascii="Arial" w:cs="Arial" w:eastAsia="Arial" w:hAnsi="Arial"/>
          <w:sz w:val="17"/>
          <w:szCs w:val="17"/>
          <w:color w:val="auto"/>
        </w:rPr>
      </w:pPr>
    </w:p>
    <w:p>
      <w:pPr>
        <w:jc w:val="both"/>
        <w:ind w:left="-200" w:firstLine="1914"/>
        <w:spacing w:after="0" w:line="248" w:lineRule="auto"/>
        <w:tabs>
          <w:tab w:leader="none" w:pos="2341" w:val="left"/>
        </w:tabs>
        <w:numPr>
          <w:ilvl w:val="1"/>
          <w:numId w:val="43"/>
        </w:numPr>
        <w:rPr>
          <w:rFonts w:ascii="Arial" w:cs="Arial" w:eastAsia="Arial" w:hAnsi="Arial"/>
          <w:sz w:val="18"/>
          <w:szCs w:val="18"/>
          <w:color w:val="auto"/>
        </w:rPr>
      </w:pPr>
      <w:r>
        <w:rPr>
          <w:rFonts w:ascii="Arial" w:cs="Arial" w:eastAsia="Arial" w:hAnsi="Arial"/>
          <w:sz w:val="18"/>
          <w:szCs w:val="18"/>
          <w:b w:val="1"/>
          <w:bCs w:val="1"/>
          <w:u w:val="single" w:color="auto"/>
          <w:color w:val="auto"/>
        </w:rPr>
        <w:t>Change of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other provision in this Agreement, if a Change of Control has</w:t>
      </w:r>
      <w:r>
        <w:rPr>
          <w:rFonts w:ascii="Arial" w:cs="Arial" w:eastAsia="Arial" w:hAnsi="Arial"/>
          <w:sz w:val="18"/>
          <w:szCs w:val="18"/>
          <w:b w:val="1"/>
          <w:bCs w:val="1"/>
          <w:color w:val="auto"/>
        </w:rPr>
        <w:t xml:space="preserve"> </w:t>
      </w:r>
      <w:r>
        <w:rPr>
          <w:rFonts w:ascii="Arial" w:cs="Arial" w:eastAsia="Arial" w:hAnsi="Arial"/>
          <w:sz w:val="18"/>
          <w:szCs w:val="18"/>
          <w:color w:val="auto"/>
        </w:rPr>
        <w:t>occurred, any person or body appointed by the Board of Directors in accordance with applicable law to review the Company’s obligations hereunder and under applicable law shall be Independent Counsel selected by Indemnitee and approved by the Company (which approval shall not be unreasonably withheld). Such counsel, among other things, will render its written opinion to the Company and Indemnitee as to whether and to what extent Indemnitee would be entitled to be indemnified hereunder under applicable law and the Company agrees to abide by such opinion. The Company agrees to pay the reasonable fees of the Independent Counsel referred to above and to indemnify fully such counsel against any and all expenses (including attorneys’ fees), claims, liabilities and damages arising out of or relating to this Agreement or its engagement pursuant hereto. Notwithstanding any other provision of this Agreement, the Company shall not be required to pay Expenses of more than one Independent Counsel in connection with all matters concerning a single Indemnitee, and such Independent Counsel shall be the Independent Counsel for any or all other Indemnitees unless (i) the Company otherwise determines or (ii) any Indemnitee shall provide a written statement setting forth in detail a reasonable objection to such Independent Counsel representing other indemnitees under agreements similar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520" w:top="1393" w:right="339" w:bottom="1440" w:gutter="0" w:footer="0" w:header="0"/>
        </w:sectPr>
      </w:pPr>
    </w:p>
    <w:bookmarkStart w:id="92" w:name="page93"/>
    <w:bookmarkEnd w:id="92"/>
    <w:p>
      <w:pPr>
        <w:jc w:val="both"/>
        <w:ind w:left="-200" w:firstLine="1278"/>
        <w:spacing w:after="0" w:line="261" w:lineRule="auto"/>
        <w:tabs>
          <w:tab w:leader="none" w:pos="1698" w:val="left"/>
        </w:tabs>
        <w:numPr>
          <w:ilvl w:val="1"/>
          <w:numId w:val="44"/>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 Directions</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payments are required to be made hereunder, the Company shall,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Indemnitee’s request (but without duplication), (i) pay such Expenses on behalf of Indemnitee, (b) advance to Indemnitee funds in an amount sufficient to pay such Expenses, or (c) reimburse Indemnitee for such Expenses.</w:t>
      </w:r>
    </w:p>
    <w:p>
      <w:pPr>
        <w:spacing w:after="0" w:line="172" w:lineRule="exact"/>
        <w:rPr>
          <w:rFonts w:ascii="Arial" w:cs="Arial" w:eastAsia="Arial" w:hAnsi="Arial"/>
          <w:sz w:val="18"/>
          <w:szCs w:val="18"/>
          <w:color w:val="auto"/>
        </w:rPr>
      </w:pPr>
    </w:p>
    <w:p>
      <w:pPr>
        <w:jc w:val="both"/>
        <w:ind w:left="-200" w:firstLine="1278"/>
        <w:spacing w:after="0" w:line="249" w:lineRule="auto"/>
        <w:tabs>
          <w:tab w:leader="none" w:pos="1698" w:val="left"/>
        </w:tabs>
        <w:numPr>
          <w:ilvl w:val="1"/>
          <w:numId w:val="44"/>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 to Insurers</w:t>
      </w:r>
      <w:r>
        <w:rPr>
          <w:rFonts w:ascii="Arial" w:cs="Arial" w:eastAsia="Arial" w:hAnsi="Arial"/>
          <w:sz w:val="18"/>
          <w:szCs w:val="18"/>
          <w:b w:val="1"/>
          <w:bCs w:val="1"/>
          <w:color w:val="auto"/>
        </w:rPr>
        <w:t xml:space="preserve">. </w:t>
      </w:r>
      <w:r>
        <w:rPr>
          <w:rFonts w:ascii="Arial" w:cs="Arial" w:eastAsia="Arial" w:hAnsi="Arial"/>
          <w:sz w:val="18"/>
          <w:szCs w:val="18"/>
          <w:color w:val="auto"/>
        </w:rPr>
        <w:t>If, at the time of the receipt of a notice of a claim pursuant to Section 2(b) hereof, the Company has</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and officer liability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Indemnitee, all amounts payable as a result of such Proceeding in accordance with the terms of such policies. The Company shall provide to Indemnitee: (i) copies of all potentially applicable directors’ and officers’ liability insurance policies, (ii) a copy of such notice delivered to the applicable insurers, and (iii) copies of all subsequent correspondence between the Company and such insurers regarding the Proceeding, in each case substantially concurrently with the delivery or receipt thereof by the Company. Further, if requested by Indemnitee, the Company will instruct the insurance carriers and the Company’s insurance broker that they may communicate directly with Indemnitee regarding such claim.</w:t>
      </w:r>
    </w:p>
    <w:p>
      <w:pPr>
        <w:spacing w:after="0" w:line="187" w:lineRule="exact"/>
        <w:rPr>
          <w:rFonts w:ascii="Arial" w:cs="Arial" w:eastAsia="Arial" w:hAnsi="Arial"/>
          <w:sz w:val="18"/>
          <w:szCs w:val="18"/>
          <w:color w:val="auto"/>
        </w:rPr>
      </w:pPr>
    </w:p>
    <w:p>
      <w:pPr>
        <w:ind w:left="1060" w:hanging="618"/>
        <w:spacing w:after="0"/>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b w:val="1"/>
          <w:bCs w:val="1"/>
          <w:u w:val="single" w:color="auto"/>
          <w:color w:val="auto"/>
        </w:rPr>
        <w:t>Additional Indemnification Rights</w:t>
      </w:r>
      <w:r>
        <w:rPr>
          <w:rFonts w:ascii="Arial" w:cs="Arial" w:eastAsia="Arial" w:hAnsi="Arial"/>
          <w:sz w:val="18"/>
          <w:szCs w:val="18"/>
          <w:b w:val="1"/>
          <w:bCs w:val="1"/>
          <w:color w:val="auto"/>
        </w:rPr>
        <w:t>.</w:t>
      </w:r>
    </w:p>
    <w:p>
      <w:pPr>
        <w:spacing w:after="0" w:line="217" w:lineRule="exact"/>
        <w:rPr>
          <w:rFonts w:ascii="Arial" w:cs="Arial" w:eastAsia="Arial" w:hAnsi="Arial"/>
          <w:sz w:val="18"/>
          <w:szCs w:val="18"/>
          <w:color w:val="auto"/>
        </w:rPr>
      </w:pPr>
    </w:p>
    <w:p>
      <w:pPr>
        <w:jc w:val="both"/>
        <w:ind w:left="-200" w:firstLine="1278"/>
        <w:spacing w:after="0" w:line="250" w:lineRule="auto"/>
        <w:tabs>
          <w:tab w:leader="none" w:pos="1698" w:val="left"/>
        </w:tabs>
        <w:numPr>
          <w:ilvl w:val="1"/>
          <w:numId w:val="45"/>
        </w:numPr>
        <w:rPr>
          <w:rFonts w:ascii="Arial" w:cs="Arial" w:eastAsia="Arial" w:hAnsi="Arial"/>
          <w:sz w:val="18"/>
          <w:szCs w:val="18"/>
          <w:color w:val="auto"/>
        </w:rPr>
      </w:pPr>
      <w:r>
        <w:rPr>
          <w:rFonts w:ascii="Arial" w:cs="Arial" w:eastAsia="Arial" w:hAnsi="Arial"/>
          <w:sz w:val="18"/>
          <w:szCs w:val="18"/>
          <w:b w:val="1"/>
          <w:bCs w:val="1"/>
          <w:u w:val="single" w:color="auto"/>
          <w:color w:val="auto"/>
        </w:rPr>
        <w:t>Scope</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other provision of this Agreement, the Company hereby agrees to indemnify Indemnitee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fullest extent permitted by law, notwithstanding that such indemnification is not specifically authorized by the other provisions of this Agreement, the Company’s Certificate of Incorporation, the Company’s Bylaws or by statute. In the event of any change, after the date of this Agreement, in any applicable law, statute or rule which expands the right of a Delaware corporation to indemnify a member of its board of directors or an officer, such changes shall be deemed to be within the purview of Indemnitee’s rights and the Company’s obligations under this Agreement. In the event of any change in any applicable law, statute or rule which narrows the right of a Delaware corporation to indemnify a member of its board of directors or an officer, such changes, to the extent not otherwise required by such law, statute or rule to be applied to this Agreement shall have no effect on this Agreement or the parties’ rights and obligations hereunder.</w:t>
      </w:r>
    </w:p>
    <w:p>
      <w:pPr>
        <w:spacing w:after="0" w:line="183" w:lineRule="exact"/>
        <w:rPr>
          <w:rFonts w:ascii="Arial" w:cs="Arial" w:eastAsia="Arial" w:hAnsi="Arial"/>
          <w:sz w:val="18"/>
          <w:szCs w:val="18"/>
          <w:color w:val="auto"/>
        </w:rPr>
      </w:pPr>
    </w:p>
    <w:p>
      <w:pPr>
        <w:jc w:val="both"/>
        <w:ind w:left="-200" w:firstLine="1278"/>
        <w:spacing w:after="0" w:line="256" w:lineRule="auto"/>
        <w:tabs>
          <w:tab w:leader="none" w:pos="1698" w:val="left"/>
        </w:tabs>
        <w:numPr>
          <w:ilvl w:val="1"/>
          <w:numId w:val="45"/>
        </w:numPr>
        <w:rPr>
          <w:rFonts w:ascii="Arial" w:cs="Arial" w:eastAsia="Arial" w:hAnsi="Arial"/>
          <w:sz w:val="18"/>
          <w:szCs w:val="18"/>
          <w:color w:val="auto"/>
        </w:rPr>
      </w:pPr>
      <w:r>
        <w:rPr>
          <w:rFonts w:ascii="Arial" w:cs="Arial" w:eastAsia="Arial" w:hAnsi="Arial"/>
          <w:sz w:val="18"/>
          <w:szCs w:val="18"/>
          <w:b w:val="1"/>
          <w:bCs w:val="1"/>
          <w:u w:val="single" w:color="auto"/>
          <w:color w:val="auto"/>
        </w:rPr>
        <w:t>Nonexclusivity</w:t>
      </w:r>
      <w:r>
        <w:rPr>
          <w:rFonts w:ascii="Arial" w:cs="Arial" w:eastAsia="Arial" w:hAnsi="Arial"/>
          <w:sz w:val="18"/>
          <w:szCs w:val="18"/>
          <w:b w:val="1"/>
          <w:bCs w:val="1"/>
          <w:color w:val="auto"/>
        </w:rPr>
        <w:t xml:space="preserve">. </w:t>
      </w:r>
      <w:r>
        <w:rPr>
          <w:rFonts w:ascii="Arial" w:cs="Arial" w:eastAsia="Arial" w:hAnsi="Arial"/>
          <w:sz w:val="18"/>
          <w:szCs w:val="18"/>
          <w:color w:val="auto"/>
        </w:rPr>
        <w:t>The indemnification provided by this Agreement shall not be deemed exclusive of any rights to which</w:t>
      </w:r>
      <w:r>
        <w:rPr>
          <w:rFonts w:ascii="Arial" w:cs="Arial" w:eastAsia="Arial" w:hAnsi="Arial"/>
          <w:sz w:val="18"/>
          <w:szCs w:val="18"/>
          <w:b w:val="1"/>
          <w:bCs w:val="1"/>
          <w:color w:val="auto"/>
        </w:rPr>
        <w:t xml:space="preserve"> </w:t>
      </w:r>
      <w:r>
        <w:rPr>
          <w:rFonts w:ascii="Arial" w:cs="Arial" w:eastAsia="Arial" w:hAnsi="Arial"/>
          <w:sz w:val="18"/>
          <w:szCs w:val="18"/>
          <w:color w:val="auto"/>
        </w:rPr>
        <w:t>Indemnitee may be entitled under the Company’s Certificate of Incorporation, its Bylaws, any agreement, any vote of stockholders or disinterested members of the Company’s Board of Directors, the General Corporation Law of Delaware or otherwise, both as to action in Indemnitee’s official capacity and as to action in another capacity while holding such office.</w:t>
      </w:r>
    </w:p>
    <w:p>
      <w:pPr>
        <w:spacing w:after="0" w:line="176" w:lineRule="exact"/>
        <w:rPr>
          <w:rFonts w:ascii="Arial" w:cs="Arial" w:eastAsia="Arial" w:hAnsi="Arial"/>
          <w:sz w:val="18"/>
          <w:szCs w:val="18"/>
          <w:color w:val="auto"/>
        </w:rPr>
      </w:pPr>
    </w:p>
    <w:p>
      <w:pPr>
        <w:jc w:val="both"/>
        <w:ind w:left="-200" w:firstLine="1278"/>
        <w:spacing w:after="0" w:line="253" w:lineRule="auto"/>
        <w:tabs>
          <w:tab w:leader="none" w:pos="1702" w:val="left"/>
        </w:tabs>
        <w:numPr>
          <w:ilvl w:val="1"/>
          <w:numId w:val="45"/>
        </w:numPr>
        <w:rPr>
          <w:rFonts w:ascii="Arial" w:cs="Arial" w:eastAsia="Arial" w:hAnsi="Arial"/>
          <w:sz w:val="18"/>
          <w:szCs w:val="18"/>
          <w:color w:val="auto"/>
        </w:rPr>
      </w:pPr>
      <w:r>
        <w:rPr>
          <w:rFonts w:ascii="Arial" w:cs="Arial" w:eastAsia="Arial" w:hAnsi="Arial"/>
          <w:sz w:val="18"/>
          <w:szCs w:val="18"/>
          <w:b w:val="1"/>
          <w:bCs w:val="1"/>
          <w:u w:val="single" w:color="auto"/>
          <w:color w:val="auto"/>
        </w:rPr>
        <w:t>Interest on Unpaid Amounts</w:t>
      </w:r>
      <w:r>
        <w:rPr>
          <w:rFonts w:ascii="Arial" w:cs="Arial" w:eastAsia="Arial" w:hAnsi="Arial"/>
          <w:sz w:val="18"/>
          <w:szCs w:val="18"/>
          <w:b w:val="1"/>
          <w:bCs w:val="1"/>
          <w:color w:val="auto"/>
        </w:rPr>
        <w:t xml:space="preserve">. </w:t>
      </w:r>
      <w:r>
        <w:rPr>
          <w:rFonts w:ascii="Arial" w:cs="Arial" w:eastAsia="Arial" w:hAnsi="Arial"/>
          <w:sz w:val="18"/>
          <w:szCs w:val="18"/>
          <w:color w:val="auto"/>
        </w:rPr>
        <w:t>If any payment to be made by the Company to Indemnitee hereunder is delayed by</w:t>
      </w:r>
      <w:r>
        <w:rPr>
          <w:rFonts w:ascii="Arial" w:cs="Arial" w:eastAsia="Arial" w:hAnsi="Arial"/>
          <w:sz w:val="18"/>
          <w:szCs w:val="18"/>
          <w:b w:val="1"/>
          <w:bCs w:val="1"/>
          <w:color w:val="auto"/>
        </w:rPr>
        <w:t xml:space="preserve"> </w:t>
      </w:r>
      <w:r>
        <w:rPr>
          <w:rFonts w:ascii="Arial" w:cs="Arial" w:eastAsia="Arial" w:hAnsi="Arial"/>
          <w:sz w:val="18"/>
          <w:szCs w:val="18"/>
          <w:color w:val="auto"/>
        </w:rPr>
        <w:t>more than ninety (90) days from the date the duly prepared request for such payment is received by the Company, interest shall be paid by the Company to Indemnitee at the legal rate under Delaware law for amounts which the Company indemnifies or is obligated to indemnify for the period commencing with the date on which Indemnitee actually incurs such Expense or pays such judgment, fine or amount in settlement and ending with the date on which such payment is made to Indemnitee by the Company.</w:t>
      </w:r>
    </w:p>
    <w:p>
      <w:pPr>
        <w:spacing w:after="0" w:line="181" w:lineRule="exact"/>
        <w:rPr>
          <w:rFonts w:ascii="Arial" w:cs="Arial" w:eastAsia="Arial" w:hAnsi="Arial"/>
          <w:sz w:val="18"/>
          <w:szCs w:val="18"/>
          <w:color w:val="auto"/>
        </w:rPr>
      </w:pPr>
    </w:p>
    <w:p>
      <w:pPr>
        <w:jc w:val="both"/>
        <w:ind w:left="-200" w:firstLine="1278"/>
        <w:spacing w:after="0" w:line="252" w:lineRule="auto"/>
        <w:tabs>
          <w:tab w:leader="none" w:pos="1698" w:val="left"/>
        </w:tabs>
        <w:numPr>
          <w:ilvl w:val="1"/>
          <w:numId w:val="45"/>
        </w:numPr>
        <w:rPr>
          <w:rFonts w:ascii="Arial" w:cs="Arial" w:eastAsia="Arial" w:hAnsi="Arial"/>
          <w:sz w:val="18"/>
          <w:szCs w:val="18"/>
          <w:color w:val="auto"/>
        </w:rPr>
      </w:pPr>
      <w:r>
        <w:rPr>
          <w:rFonts w:ascii="Arial" w:cs="Arial" w:eastAsia="Arial" w:hAnsi="Arial"/>
          <w:sz w:val="18"/>
          <w:szCs w:val="18"/>
          <w:b w:val="1"/>
          <w:bCs w:val="1"/>
          <w:u w:val="single" w:color="auto"/>
          <w:color w:val="auto"/>
        </w:rPr>
        <w:t>Third-Party Indemnification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hereby acknowledges that Indemnitee has or may from time to time</w:t>
      </w:r>
      <w:r>
        <w:rPr>
          <w:rFonts w:ascii="Arial" w:cs="Arial" w:eastAsia="Arial" w:hAnsi="Arial"/>
          <w:sz w:val="18"/>
          <w:szCs w:val="18"/>
          <w:b w:val="1"/>
          <w:bCs w:val="1"/>
          <w:color w:val="auto"/>
        </w:rPr>
        <w:t xml:space="preserve"> </w:t>
      </w:r>
      <w:r>
        <w:rPr>
          <w:rFonts w:ascii="Arial" w:cs="Arial" w:eastAsia="Arial" w:hAnsi="Arial"/>
          <w:sz w:val="18"/>
          <w:szCs w:val="18"/>
          <w:color w:val="auto"/>
        </w:rPr>
        <w:t>obtain certain rights to indemnification, advancement of expenses and/or insurance provided by one or more third parties (collectively, the “</w:t>
      </w:r>
      <w:r>
        <w:rPr>
          <w:rFonts w:ascii="Arial" w:cs="Arial" w:eastAsia="Arial" w:hAnsi="Arial"/>
          <w:sz w:val="18"/>
          <w:szCs w:val="18"/>
          <w:u w:val="single" w:color="auto"/>
          <w:color w:val="auto"/>
        </w:rPr>
        <w:t>Third-Party Indemnitors</w:t>
      </w:r>
      <w:r>
        <w:rPr>
          <w:rFonts w:ascii="Arial" w:cs="Arial" w:eastAsia="Arial" w:hAnsi="Arial"/>
          <w:sz w:val="18"/>
          <w:szCs w:val="18"/>
          <w:color w:val="auto"/>
        </w:rPr>
        <w:t>”). The Company hereby agrees that it is the indemnitor of first resort (</w:t>
      </w:r>
      <w:r>
        <w:rPr>
          <w:rFonts w:ascii="Arial" w:cs="Arial" w:eastAsia="Arial" w:hAnsi="Arial"/>
          <w:sz w:val="18"/>
          <w:szCs w:val="18"/>
          <w:i w:val="1"/>
          <w:iCs w:val="1"/>
          <w:color w:val="auto"/>
        </w:rPr>
        <w:t>i.e.,</w:t>
      </w:r>
      <w:r>
        <w:rPr>
          <w:rFonts w:ascii="Arial" w:cs="Arial" w:eastAsia="Arial" w:hAnsi="Arial"/>
          <w:sz w:val="18"/>
          <w:szCs w:val="18"/>
          <w:color w:val="auto"/>
        </w:rPr>
        <w:t xml:space="preserve"> its obligations to Indemnitee are primary, and any obligation of the Third-Party Indemnitors to advance expenses or to provide indemnification for the same expenses or liabilities incurred by Indemnitee are secondary) and that the Company will not assert that the Indemnitee must seek expense advancement or reimbursement, or indemnification, from any Third-Party Indemnitor before the Company must perform its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520" w:top="1393" w:right="339" w:bottom="1440" w:gutter="0" w:footer="0" w:header="0"/>
        </w:sectPr>
      </w:pPr>
    </w:p>
    <w:bookmarkStart w:id="93" w:name="page94"/>
    <w:bookmarkEnd w:id="93"/>
    <w:p>
      <w:pPr>
        <w:jc w:val="both"/>
        <w:spacing w:after="0" w:line="250" w:lineRule="auto"/>
        <w:rPr>
          <w:sz w:val="20"/>
          <w:szCs w:val="20"/>
          <w:color w:val="auto"/>
        </w:rPr>
      </w:pPr>
      <w:r>
        <w:rPr>
          <w:rFonts w:ascii="Arial" w:cs="Arial" w:eastAsia="Arial" w:hAnsi="Arial"/>
          <w:sz w:val="18"/>
          <w:szCs w:val="18"/>
          <w:color w:val="auto"/>
        </w:rPr>
        <w:t>advancement and reimbursement, and indemnification obligations, under this Agreement. No advancement or payment by the Third-Party Indemnitors on behalf of Indemnitee with respect to any claim for which Indemnitee has sought indemnification from the Company shall affect the foregoing. The Third-Party Indemnitors shall be subrogated to the extent of such advancement or payment to all of the rights of recovery which Indemnitee would have had against the Company if the Third-Party Indemnitors had not advanced or paid any amount to or on behalf of Indemnitee. If, for any reason, a court of competent jurisdiction determines that the Third-Party Indemnitors are not entitled to the subrogation rights described in the preceding sentence, the Third-Party Indemnitors shall have a right of contribution by the Company to the Third-Party Indemnitors with respect to any advance or payment by the Third-Party Indemnitors to or on behalf of the Indemnitee.</w:t>
      </w:r>
    </w:p>
    <w:p>
      <w:pPr>
        <w:spacing w:after="0" w:line="185" w:lineRule="exact"/>
        <w:rPr>
          <w:sz w:val="20"/>
          <w:szCs w:val="20"/>
          <w:color w:val="auto"/>
        </w:rPr>
      </w:pPr>
    </w:p>
    <w:p>
      <w:pPr>
        <w:jc w:val="both"/>
        <w:ind w:firstLine="1278"/>
        <w:spacing w:after="0" w:line="269" w:lineRule="auto"/>
        <w:tabs>
          <w:tab w:leader="none" w:pos="1898" w:val="left"/>
        </w:tabs>
        <w:numPr>
          <w:ilvl w:val="1"/>
          <w:numId w:val="46"/>
        </w:numPr>
        <w:rPr>
          <w:rFonts w:ascii="Arial" w:cs="Arial" w:eastAsia="Arial" w:hAnsi="Arial"/>
          <w:sz w:val="17"/>
          <w:szCs w:val="17"/>
          <w:color w:val="auto"/>
        </w:rPr>
      </w:pPr>
      <w:r>
        <w:rPr>
          <w:rFonts w:ascii="Arial" w:cs="Arial" w:eastAsia="Arial" w:hAnsi="Arial"/>
          <w:sz w:val="17"/>
          <w:szCs w:val="17"/>
          <w:b w:val="1"/>
          <w:bCs w:val="1"/>
          <w:u w:val="single" w:color="auto"/>
          <w:color w:val="auto"/>
        </w:rPr>
        <w:t>Indemnification of Control Person</w:t>
      </w:r>
      <w:r>
        <w:rPr>
          <w:rFonts w:ascii="Arial" w:cs="Arial" w:eastAsia="Arial" w:hAnsi="Arial"/>
          <w:sz w:val="17"/>
          <w:szCs w:val="17"/>
          <w:b w:val="1"/>
          <w:bCs w:val="1"/>
          <w:color w:val="auto"/>
        </w:rPr>
        <w:t xml:space="preserve">. </w:t>
      </w:r>
      <w:r>
        <w:rPr>
          <w:rFonts w:ascii="Arial" w:cs="Arial" w:eastAsia="Arial" w:hAnsi="Arial"/>
          <w:sz w:val="17"/>
          <w:szCs w:val="17"/>
          <w:color w:val="auto"/>
        </w:rPr>
        <w:t>If (i) Indemnitee is or was affiliated with one or more of the Company’s current or</w:t>
      </w:r>
      <w:r>
        <w:rPr>
          <w:rFonts w:ascii="Arial" w:cs="Arial" w:eastAsia="Arial" w:hAnsi="Arial"/>
          <w:sz w:val="17"/>
          <w:szCs w:val="17"/>
          <w:b w:val="1"/>
          <w:bCs w:val="1"/>
          <w:color w:val="auto"/>
        </w:rPr>
        <w:t xml:space="preserve"> </w:t>
      </w:r>
      <w:r>
        <w:rPr>
          <w:rFonts w:ascii="Arial" w:cs="Arial" w:eastAsia="Arial" w:hAnsi="Arial"/>
          <w:sz w:val="17"/>
          <w:szCs w:val="17"/>
          <w:color w:val="auto"/>
        </w:rPr>
        <w:t>former stockholders that may be deemed to be or to have been a controlling person of the Company (each a “</w:t>
      </w:r>
      <w:r>
        <w:rPr>
          <w:rFonts w:ascii="Arial" w:cs="Arial" w:eastAsia="Arial" w:hAnsi="Arial"/>
          <w:sz w:val="17"/>
          <w:szCs w:val="17"/>
          <w:u w:val="single" w:color="auto"/>
          <w:color w:val="auto"/>
        </w:rPr>
        <w:t>Control Person</w:t>
      </w:r>
      <w:r>
        <w:rPr>
          <w:rFonts w:ascii="Arial" w:cs="Arial" w:eastAsia="Arial" w:hAnsi="Arial"/>
          <w:sz w:val="17"/>
          <w:szCs w:val="17"/>
          <w:color w:val="auto"/>
        </w:rPr>
        <w:t>”), (ii) a Control Person is, or is threatened to be made, a party to or a participant (including as a witness) in any Proceeding, and (iii) the Control Person’s involvement in the Proceeding is related to Indemnitee’s service to the Company as a director of the Company, or arises from the Control Person’s status or alleged status as a controlling person of the Company resulting from such Control Person’s affiliation with Indemnitee, then the Control Person shall be entitled to all of the indemnification rights and remedies under this Agreement to the same extent as Indemnitee.</w:t>
      </w:r>
    </w:p>
    <w:p>
      <w:pPr>
        <w:spacing w:after="0" w:line="169" w:lineRule="exact"/>
        <w:rPr>
          <w:rFonts w:ascii="Arial" w:cs="Arial" w:eastAsia="Arial" w:hAnsi="Arial"/>
          <w:sz w:val="17"/>
          <w:szCs w:val="17"/>
          <w:color w:val="auto"/>
        </w:rPr>
      </w:pPr>
    </w:p>
    <w:p>
      <w:pPr>
        <w:jc w:val="both"/>
        <w:ind w:firstLine="642"/>
        <w:spacing w:after="0" w:line="256" w:lineRule="auto"/>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b w:val="1"/>
          <w:bCs w:val="1"/>
          <w:u w:val="single" w:color="auto"/>
          <w:color w:val="auto"/>
        </w:rPr>
        <w:t>Partial Indemnification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If Indemnitee is entitled under any provision of this Agreement to indemnification by the Company for</w:t>
      </w:r>
      <w:r>
        <w:rPr>
          <w:rFonts w:ascii="Arial" w:cs="Arial" w:eastAsia="Arial" w:hAnsi="Arial"/>
          <w:sz w:val="18"/>
          <w:szCs w:val="18"/>
          <w:b w:val="1"/>
          <w:bCs w:val="1"/>
          <w:color w:val="auto"/>
        </w:rPr>
        <w:t xml:space="preserve"> </w:t>
      </w:r>
      <w:r>
        <w:rPr>
          <w:rFonts w:ascii="Arial" w:cs="Arial" w:eastAsia="Arial" w:hAnsi="Arial"/>
          <w:sz w:val="18"/>
          <w:szCs w:val="18"/>
          <w:color w:val="auto"/>
        </w:rPr>
        <w:t>some or a portion of the Expenses, judgments, fines or amounts paid in settlement, actually and reasonably incurred in connection with a Proceeding, but not, however, for the total amount thereof, the Company shall nevertheless indemnify Indemnitee for the portion of such Expenses, judgments, fines and amounts paid in settlement to which Indemnitee is entitled.</w:t>
      </w:r>
    </w:p>
    <w:p>
      <w:pPr>
        <w:spacing w:after="0" w:line="176" w:lineRule="exact"/>
        <w:rPr>
          <w:rFonts w:ascii="Arial" w:cs="Arial" w:eastAsia="Arial" w:hAnsi="Arial"/>
          <w:sz w:val="18"/>
          <w:szCs w:val="18"/>
          <w:color w:val="auto"/>
        </w:rPr>
      </w:pPr>
    </w:p>
    <w:p>
      <w:pPr>
        <w:ind w:left="1260" w:hanging="618"/>
        <w:spacing w:after="0"/>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b w:val="1"/>
          <w:bCs w:val="1"/>
          <w:u w:val="single" w:color="auto"/>
          <w:color w:val="auto"/>
        </w:rPr>
        <w:t>Director and Officer Liability Insurance</w:t>
      </w:r>
      <w:r>
        <w:rPr>
          <w:rFonts w:ascii="Arial" w:cs="Arial" w:eastAsia="Arial" w:hAnsi="Arial"/>
          <w:sz w:val="18"/>
          <w:szCs w:val="18"/>
          <w:b w:val="1"/>
          <w:bCs w:val="1"/>
          <w:color w:val="auto"/>
        </w:rPr>
        <w:t>.</w:t>
      </w:r>
    </w:p>
    <w:p>
      <w:pPr>
        <w:spacing w:after="0" w:line="217" w:lineRule="exact"/>
        <w:rPr>
          <w:rFonts w:ascii="Arial" w:cs="Arial" w:eastAsia="Arial" w:hAnsi="Arial"/>
          <w:sz w:val="18"/>
          <w:szCs w:val="18"/>
          <w:color w:val="auto"/>
        </w:rPr>
      </w:pPr>
    </w:p>
    <w:p>
      <w:pPr>
        <w:jc w:val="both"/>
        <w:ind w:firstLine="1278"/>
        <w:spacing w:after="0" w:line="265" w:lineRule="auto"/>
        <w:tabs>
          <w:tab w:leader="none" w:pos="1898" w:val="left"/>
        </w:tabs>
        <w:numPr>
          <w:ilvl w:val="1"/>
          <w:numId w:val="47"/>
        </w:numPr>
        <w:rPr>
          <w:rFonts w:ascii="Arial" w:cs="Arial" w:eastAsia="Arial" w:hAnsi="Arial"/>
          <w:sz w:val="17"/>
          <w:szCs w:val="17"/>
          <w:color w:val="auto"/>
        </w:rPr>
      </w:pPr>
      <w:r>
        <w:rPr>
          <w:rFonts w:ascii="Arial" w:cs="Arial" w:eastAsia="Arial" w:hAnsi="Arial"/>
          <w:sz w:val="17"/>
          <w:szCs w:val="17"/>
          <w:b w:val="1"/>
          <w:bCs w:val="1"/>
          <w:u w:val="single" w:color="auto"/>
          <w:color w:val="auto"/>
        </w:rPr>
        <w:t>D&amp;O Policy</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shall, from time to time, make the good faith determination whether or not it is practicable</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Company to obtain and maintain a policy or policies of insurance with reputable insurance companies providing the directors and officers of the Company with coverage for losses from wrongful acts, or to ensure the Company’s performance of its indemnification obligations under this Agreement. Among other considerations, the Company will weigh the costs of obtaining such insurance coverage against the protection afforded by such coverage. In all policies of director and officer liability insurance, Indemnitee shall be named as an insured in such a manner as to provide Indemnitee the same rights and benefits as are accorded to the most favorably insured of the Company’s directors, if Indemnitee is a director; or of the Company’s officers, if Indemnitee is not a director of the Company but is an officer; or of the Company’s key employees, if Indemnitee is not an officer or director but is a key employee. Notwithstanding the foregoing, the Company shall have no obligation to obtain or maintain such insurance if the Company determines in good faith that such insurance is not reasonably available, if the premium costs for such insurance are disproportionate to the amount of coverage provided, if the coverage provided by such insurance is limited by exclusions so as to provide an insufficient benefit, or if Indemnitee is covered by similar insurance maintained by a parent or subsidiary of the Company.</w:t>
      </w:r>
    </w:p>
    <w:p>
      <w:pPr>
        <w:spacing w:after="0" w:line="169" w:lineRule="exact"/>
        <w:rPr>
          <w:rFonts w:ascii="Arial" w:cs="Arial" w:eastAsia="Arial" w:hAnsi="Arial"/>
          <w:sz w:val="17"/>
          <w:szCs w:val="17"/>
          <w:color w:val="auto"/>
        </w:rPr>
      </w:pPr>
    </w:p>
    <w:p>
      <w:pPr>
        <w:jc w:val="both"/>
        <w:ind w:firstLine="1278"/>
        <w:spacing w:after="0" w:line="256" w:lineRule="auto"/>
        <w:tabs>
          <w:tab w:leader="none" w:pos="1898" w:val="left"/>
        </w:tabs>
        <w:numPr>
          <w:ilvl w:val="1"/>
          <w:numId w:val="47"/>
        </w:numPr>
        <w:rPr>
          <w:rFonts w:ascii="Arial" w:cs="Arial" w:eastAsia="Arial" w:hAnsi="Arial"/>
          <w:sz w:val="18"/>
          <w:szCs w:val="18"/>
          <w:color w:val="auto"/>
        </w:rPr>
      </w:pPr>
      <w:r>
        <w:rPr>
          <w:rFonts w:ascii="Arial" w:cs="Arial" w:eastAsia="Arial" w:hAnsi="Arial"/>
          <w:sz w:val="18"/>
          <w:szCs w:val="18"/>
          <w:b w:val="1"/>
          <w:bCs w:val="1"/>
          <w:u w:val="single" w:color="auto"/>
          <w:color w:val="auto"/>
        </w:rPr>
        <w:t>Tail Coverage</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a Change of Control or the Company’s becoming insolvent (including being placed into</w:t>
      </w:r>
      <w:r>
        <w:rPr>
          <w:rFonts w:ascii="Arial" w:cs="Arial" w:eastAsia="Arial" w:hAnsi="Arial"/>
          <w:sz w:val="18"/>
          <w:szCs w:val="18"/>
          <w:b w:val="1"/>
          <w:bCs w:val="1"/>
          <w:color w:val="auto"/>
        </w:rPr>
        <w:t xml:space="preserve"> </w:t>
      </w:r>
      <w:r>
        <w:rPr>
          <w:rFonts w:ascii="Arial" w:cs="Arial" w:eastAsia="Arial" w:hAnsi="Arial"/>
          <w:sz w:val="18"/>
          <w:szCs w:val="18"/>
          <w:color w:val="auto"/>
        </w:rPr>
        <w:t>receivership or entering the federal bankruptcy process and the like), the Company shall maintain in force any and all insurance policies then maintained by the Company in providing insurance (directors’ and officers’ liability, fiduciary, employment practices or otherwise) in respect of Indemnitee, for a period of six years thereafter.</w:t>
      </w:r>
    </w:p>
    <w:p>
      <w:pPr>
        <w:spacing w:after="0" w:line="176" w:lineRule="exact"/>
        <w:rPr>
          <w:rFonts w:ascii="Arial" w:cs="Arial" w:eastAsia="Arial" w:hAnsi="Arial"/>
          <w:sz w:val="18"/>
          <w:szCs w:val="18"/>
          <w:color w:val="auto"/>
        </w:rPr>
      </w:pPr>
    </w:p>
    <w:p>
      <w:pPr>
        <w:ind w:firstLine="642"/>
        <w:spacing w:after="0" w:line="276" w:lineRule="auto"/>
        <w:tabs>
          <w:tab w:leader="none" w:pos="1260" w:val="left"/>
        </w:tabs>
        <w:numPr>
          <w:ilvl w:val="0"/>
          <w:numId w:val="47"/>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in this Agreement is intended to require or shall be construed as requiring the Company to do or fail to do</w:t>
      </w:r>
      <w:r>
        <w:rPr>
          <w:rFonts w:ascii="Arial" w:cs="Arial" w:eastAsia="Arial" w:hAnsi="Arial"/>
          <w:sz w:val="18"/>
          <w:szCs w:val="18"/>
          <w:b w:val="1"/>
          <w:bCs w:val="1"/>
          <w:color w:val="auto"/>
        </w:rPr>
        <w:t xml:space="preserve"> </w:t>
      </w:r>
      <w:r>
        <w:rPr>
          <w:rFonts w:ascii="Arial" w:cs="Arial" w:eastAsia="Arial" w:hAnsi="Arial"/>
          <w:sz w:val="18"/>
          <w:szCs w:val="18"/>
          <w:color w:val="auto"/>
        </w:rPr>
        <w:t>any act in violation of applicable law. The Company’s inability,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395" w:right="339" w:bottom="1440" w:gutter="0" w:footer="0" w:header="0"/>
        </w:sectPr>
      </w:pPr>
    </w:p>
    <w:bookmarkStart w:id="94" w:name="page95"/>
    <w:bookmarkEnd w:id="94"/>
    <w:p>
      <w:pPr>
        <w:jc w:val="both"/>
        <w:spacing w:after="0" w:line="255" w:lineRule="auto"/>
        <w:rPr>
          <w:sz w:val="20"/>
          <w:szCs w:val="20"/>
          <w:color w:val="auto"/>
        </w:rPr>
      </w:pPr>
      <w:r>
        <w:rPr>
          <w:rFonts w:ascii="Arial" w:cs="Arial" w:eastAsia="Arial" w:hAnsi="Arial"/>
          <w:sz w:val="18"/>
          <w:szCs w:val="18"/>
          <w:color w:val="auto"/>
        </w:rPr>
        <w:t>pursuant to court order, to perform its obligations under this Agreement shall not constitute a breach of this Agreement. If this Agreement or any portion hereof shall be invalidated on any ground by any court of competent jurisdiction, then the Company shall nevertheless indemnify Indemnitee to the full extent permitted by any applicable portion of this Agreement that shall not have been invalidated, and the balance of this Agreement not so invalidated shall be enforceable in accordance with its terms.</w:t>
      </w:r>
    </w:p>
    <w:p>
      <w:pPr>
        <w:spacing w:after="0" w:line="178" w:lineRule="exact"/>
        <w:rPr>
          <w:sz w:val="20"/>
          <w:szCs w:val="20"/>
          <w:color w:val="auto"/>
        </w:rPr>
      </w:pPr>
    </w:p>
    <w:p>
      <w:pPr>
        <w:ind w:firstLine="642"/>
        <w:spacing w:after="0" w:line="276" w:lineRule="auto"/>
        <w:tabs>
          <w:tab w:leader="none" w:pos="1260" w:val="left"/>
        </w:tabs>
        <w:numPr>
          <w:ilvl w:val="1"/>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Exclusions</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provision herein to the contrary notwithstanding, the Company shall not be obligated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this Agreement:</w:t>
      </w:r>
    </w:p>
    <w:p>
      <w:pPr>
        <w:spacing w:after="0" w:line="159" w:lineRule="exact"/>
        <w:rPr>
          <w:rFonts w:ascii="Arial" w:cs="Arial" w:eastAsia="Arial" w:hAnsi="Arial"/>
          <w:sz w:val="18"/>
          <w:szCs w:val="18"/>
          <w:color w:val="auto"/>
        </w:rPr>
      </w:pPr>
    </w:p>
    <w:p>
      <w:pPr>
        <w:jc w:val="both"/>
        <w:ind w:firstLine="1278"/>
        <w:spacing w:after="0" w:line="251" w:lineRule="auto"/>
        <w:tabs>
          <w:tab w:leader="none" w:pos="1898" w:val="left"/>
        </w:tabs>
        <w:numPr>
          <w:ilvl w:val="2"/>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Claims Initiated by Indemnitee</w:t>
      </w:r>
      <w:r>
        <w:rPr>
          <w:rFonts w:ascii="Arial" w:cs="Arial" w:eastAsia="Arial" w:hAnsi="Arial"/>
          <w:sz w:val="18"/>
          <w:szCs w:val="18"/>
          <w:b w:val="1"/>
          <w:bCs w:val="1"/>
          <w:color w:val="auto"/>
        </w:rPr>
        <w:t xml:space="preserve">. </w:t>
      </w:r>
      <w:r>
        <w:rPr>
          <w:rFonts w:ascii="Arial" w:cs="Arial" w:eastAsia="Arial" w:hAnsi="Arial"/>
          <w:sz w:val="18"/>
          <w:szCs w:val="18"/>
          <w:color w:val="auto"/>
        </w:rPr>
        <w:t>To indemnify or advance Expenses to Indemnitee with respect to Proceedings</w:t>
      </w:r>
      <w:r>
        <w:rPr>
          <w:rFonts w:ascii="Arial" w:cs="Arial" w:eastAsia="Arial" w:hAnsi="Arial"/>
          <w:sz w:val="18"/>
          <w:szCs w:val="18"/>
          <w:b w:val="1"/>
          <w:bCs w:val="1"/>
          <w:color w:val="auto"/>
        </w:rPr>
        <w:t xml:space="preserve"> </w:t>
      </w:r>
      <w:r>
        <w:rPr>
          <w:rFonts w:ascii="Arial" w:cs="Arial" w:eastAsia="Arial" w:hAnsi="Arial"/>
          <w:sz w:val="18"/>
          <w:szCs w:val="18"/>
          <w:color w:val="auto"/>
        </w:rPr>
        <w:t>initiated or brought voluntarily by Indemnitee and not by way of defense, except with respect to Proceedings brought to establish, enforce or interpret a right to indemnification under this Agreement or any other statute or law or otherwise as required under Section 145 of the General Corporation Law of Delaware, but such indemnification or advancement of Expenses may be provided by the Company in specific cases if the Board of Directors finds it to be appropriate; provided, however, that the exclusion set forth in the first clause of this subsection shall not be deemed to apply to any investigation initiated or brought by Indemnitee to the extent reasonably necessary or advisable in support of Indemnitee’s defense of a Proceeding to which Indemnitee was, is or is threatened to be made, a party;</w:t>
      </w:r>
    </w:p>
    <w:p>
      <w:pPr>
        <w:spacing w:after="0" w:line="180" w:lineRule="exact"/>
        <w:rPr>
          <w:rFonts w:ascii="Arial" w:cs="Arial" w:eastAsia="Arial" w:hAnsi="Arial"/>
          <w:sz w:val="18"/>
          <w:szCs w:val="18"/>
          <w:color w:val="auto"/>
        </w:rPr>
      </w:pPr>
    </w:p>
    <w:p>
      <w:pPr>
        <w:ind w:right="40" w:firstLine="1278"/>
        <w:spacing w:after="0" w:line="261" w:lineRule="auto"/>
        <w:tabs>
          <w:tab w:leader="none" w:pos="1898" w:val="left"/>
        </w:tabs>
        <w:numPr>
          <w:ilvl w:val="2"/>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Unlawful 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To indemnify Indemnitee for Expenses to the extent it is determined by a final court order or</w:t>
      </w:r>
      <w:r>
        <w:rPr>
          <w:rFonts w:ascii="Arial" w:cs="Arial" w:eastAsia="Arial" w:hAnsi="Arial"/>
          <w:sz w:val="18"/>
          <w:szCs w:val="18"/>
          <w:b w:val="1"/>
          <w:bCs w:val="1"/>
          <w:color w:val="auto"/>
        </w:rPr>
        <w:t xml:space="preserve"> </w:t>
      </w:r>
      <w:r>
        <w:rPr>
          <w:rFonts w:ascii="Arial" w:cs="Arial" w:eastAsia="Arial" w:hAnsi="Arial"/>
          <w:sz w:val="18"/>
          <w:szCs w:val="18"/>
          <w:color w:val="auto"/>
        </w:rPr>
        <w:t>judgment by a court of competent jurisdiction in a final adjudication to which all rights of appeal have either lapsed or been exhausted, that such indemnification is unlawful;</w:t>
      </w:r>
    </w:p>
    <w:p>
      <w:pPr>
        <w:spacing w:after="0" w:line="172" w:lineRule="exact"/>
        <w:rPr>
          <w:rFonts w:ascii="Arial" w:cs="Arial" w:eastAsia="Arial" w:hAnsi="Arial"/>
          <w:sz w:val="18"/>
          <w:szCs w:val="18"/>
          <w:color w:val="auto"/>
        </w:rPr>
      </w:pPr>
    </w:p>
    <w:p>
      <w:pPr>
        <w:jc w:val="both"/>
        <w:ind w:right="200" w:firstLine="1278"/>
        <w:spacing w:after="0" w:line="261" w:lineRule="auto"/>
        <w:tabs>
          <w:tab w:leader="none" w:pos="1902" w:val="left"/>
        </w:tabs>
        <w:numPr>
          <w:ilvl w:val="2"/>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Certain Conduct</w:t>
      </w:r>
      <w:r>
        <w:rPr>
          <w:rFonts w:ascii="Arial" w:cs="Arial" w:eastAsia="Arial" w:hAnsi="Arial"/>
          <w:sz w:val="18"/>
          <w:szCs w:val="18"/>
          <w:b w:val="1"/>
          <w:bCs w:val="1"/>
          <w:color w:val="auto"/>
        </w:rPr>
        <w:t xml:space="preserve">. </w:t>
      </w:r>
      <w:r>
        <w:rPr>
          <w:rFonts w:ascii="Arial" w:cs="Arial" w:eastAsia="Arial" w:hAnsi="Arial"/>
          <w:sz w:val="18"/>
          <w:szCs w:val="18"/>
          <w:color w:val="auto"/>
        </w:rPr>
        <w:t>To indemnify Indemnitee for Expenses on account of Indemnitee’s conduct that is established by a</w:t>
      </w:r>
      <w:r>
        <w:rPr>
          <w:rFonts w:ascii="Arial" w:cs="Arial" w:eastAsia="Arial" w:hAnsi="Arial"/>
          <w:sz w:val="18"/>
          <w:szCs w:val="18"/>
          <w:b w:val="1"/>
          <w:bCs w:val="1"/>
          <w:color w:val="auto"/>
        </w:rPr>
        <w:t xml:space="preserve"> </w:t>
      </w:r>
      <w:r>
        <w:rPr>
          <w:rFonts w:ascii="Arial" w:cs="Arial" w:eastAsia="Arial" w:hAnsi="Arial"/>
          <w:sz w:val="18"/>
          <w:szCs w:val="18"/>
          <w:color w:val="auto"/>
        </w:rPr>
        <w:t>final court order or judgment by a court of competent jurisdiction in a final adjudication to which all rights of appeal have either lapsed or been exhausted, as knowingly fraudulent;</w:t>
      </w:r>
    </w:p>
    <w:p>
      <w:pPr>
        <w:spacing w:after="0" w:line="172" w:lineRule="exact"/>
        <w:rPr>
          <w:rFonts w:ascii="Arial" w:cs="Arial" w:eastAsia="Arial" w:hAnsi="Arial"/>
          <w:sz w:val="18"/>
          <w:szCs w:val="18"/>
          <w:color w:val="auto"/>
        </w:rPr>
      </w:pPr>
    </w:p>
    <w:p>
      <w:pPr>
        <w:ind w:firstLine="1278"/>
        <w:spacing w:after="0" w:line="276" w:lineRule="auto"/>
        <w:tabs>
          <w:tab w:leader="none" w:pos="1898" w:val="left"/>
        </w:tabs>
        <w:numPr>
          <w:ilvl w:val="2"/>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Insured Claims</w:t>
      </w:r>
      <w:r>
        <w:rPr>
          <w:rFonts w:ascii="Arial" w:cs="Arial" w:eastAsia="Arial" w:hAnsi="Arial"/>
          <w:sz w:val="18"/>
          <w:szCs w:val="18"/>
          <w:b w:val="1"/>
          <w:bCs w:val="1"/>
          <w:color w:val="auto"/>
        </w:rPr>
        <w:t xml:space="preserve">. </w:t>
      </w:r>
      <w:r>
        <w:rPr>
          <w:rFonts w:ascii="Arial" w:cs="Arial" w:eastAsia="Arial" w:hAnsi="Arial"/>
          <w:sz w:val="18"/>
          <w:szCs w:val="18"/>
          <w:color w:val="auto"/>
        </w:rPr>
        <w:t>To indemnify Indemnitee for Expenses to the extent such Expenses have been paid directly to</w:t>
      </w:r>
      <w:r>
        <w:rPr>
          <w:rFonts w:ascii="Arial" w:cs="Arial" w:eastAsia="Arial" w:hAnsi="Arial"/>
          <w:sz w:val="18"/>
          <w:szCs w:val="18"/>
          <w:b w:val="1"/>
          <w:bCs w:val="1"/>
          <w:color w:val="auto"/>
        </w:rPr>
        <w:t xml:space="preserve"> </w:t>
      </w:r>
      <w:r>
        <w:rPr>
          <w:rFonts w:ascii="Arial" w:cs="Arial" w:eastAsia="Arial" w:hAnsi="Arial"/>
          <w:sz w:val="18"/>
          <w:szCs w:val="18"/>
          <w:color w:val="auto"/>
        </w:rPr>
        <w:t>Indemnitee by an insurance carrier under an insurance policy maintained by the Company; or</w:t>
      </w:r>
    </w:p>
    <w:p>
      <w:pPr>
        <w:spacing w:after="0" w:line="159" w:lineRule="exact"/>
        <w:rPr>
          <w:rFonts w:ascii="Arial" w:cs="Arial" w:eastAsia="Arial" w:hAnsi="Arial"/>
          <w:sz w:val="18"/>
          <w:szCs w:val="18"/>
          <w:color w:val="auto"/>
        </w:rPr>
      </w:pPr>
    </w:p>
    <w:p>
      <w:pPr>
        <w:jc w:val="both"/>
        <w:ind w:firstLine="1278"/>
        <w:spacing w:after="0" w:line="267" w:lineRule="auto"/>
        <w:tabs>
          <w:tab w:leader="none" w:pos="1898" w:val="left"/>
        </w:tabs>
        <w:numPr>
          <w:ilvl w:val="2"/>
          <w:numId w:val="48"/>
        </w:numPr>
        <w:rPr>
          <w:rFonts w:ascii="Arial" w:cs="Arial" w:eastAsia="Arial" w:hAnsi="Arial"/>
          <w:sz w:val="17"/>
          <w:szCs w:val="17"/>
          <w:color w:val="auto"/>
        </w:rPr>
      </w:pPr>
      <w:r>
        <w:rPr>
          <w:rFonts w:ascii="Arial" w:cs="Arial" w:eastAsia="Arial" w:hAnsi="Arial"/>
          <w:sz w:val="17"/>
          <w:szCs w:val="17"/>
          <w:b w:val="1"/>
          <w:bCs w:val="1"/>
          <w:u w:val="single" w:color="auto"/>
          <w:color w:val="auto"/>
        </w:rPr>
        <w:t>Certain Exchange Act Claims</w:t>
      </w:r>
      <w:r>
        <w:rPr>
          <w:rFonts w:ascii="Arial" w:cs="Arial" w:eastAsia="Arial" w:hAnsi="Arial"/>
          <w:sz w:val="17"/>
          <w:szCs w:val="17"/>
          <w:b w:val="1"/>
          <w:bCs w:val="1"/>
          <w:color w:val="auto"/>
        </w:rPr>
        <w:t xml:space="preserve">. </w:t>
      </w:r>
      <w:r>
        <w:rPr>
          <w:rFonts w:ascii="Arial" w:cs="Arial" w:eastAsia="Arial" w:hAnsi="Arial"/>
          <w:sz w:val="17"/>
          <w:szCs w:val="17"/>
          <w:color w:val="auto"/>
        </w:rPr>
        <w:t>To indemnify Indemnitee in connection with any claim made against Indemnitee for (i)</w:t>
      </w:r>
      <w:r>
        <w:rPr>
          <w:rFonts w:ascii="Arial" w:cs="Arial" w:eastAsia="Arial" w:hAnsi="Arial"/>
          <w:sz w:val="17"/>
          <w:szCs w:val="17"/>
          <w:b w:val="1"/>
          <w:bCs w:val="1"/>
          <w:color w:val="auto"/>
        </w:rPr>
        <w:t xml:space="preserve"> </w:t>
      </w:r>
      <w:r>
        <w:rPr>
          <w:rFonts w:ascii="Arial" w:cs="Arial" w:eastAsia="Arial" w:hAnsi="Arial"/>
          <w:sz w:val="17"/>
          <w:szCs w:val="17"/>
          <w:color w:val="auto"/>
        </w:rPr>
        <w:t>an accounting of profits made from the purchase and sale (or sale and purchase) by Indemnitee of securities of the Company within the meaning of Section 16(b) of the Exchange Act or any similar successor statute or any similar provisions of state statutory law or common law, or</w:t>
      </w:r>
    </w:p>
    <w:p>
      <w:pPr>
        <w:spacing w:after="0" w:line="1" w:lineRule="exact"/>
        <w:rPr>
          <w:rFonts w:ascii="Arial" w:cs="Arial" w:eastAsia="Arial" w:hAnsi="Arial"/>
          <w:sz w:val="17"/>
          <w:szCs w:val="17"/>
          <w:color w:val="auto"/>
        </w:rPr>
      </w:pPr>
    </w:p>
    <w:p>
      <w:pPr>
        <w:jc w:val="both"/>
        <w:ind w:firstLine="6"/>
        <w:spacing w:after="0" w:line="247" w:lineRule="auto"/>
        <w:tabs>
          <w:tab w:leader="none" w:pos="262"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reimbursement of the Company by Indemnitee of any bonus or other incentive-based or equity-based compensation or of any profits realized by Indemnitee from the sale of securities of the Company, as required in each case under the Exchange Act (including any such reimbursements that arise from an accounting restatement of the Company pursuant to Section 304 of the Sarbanes-Oxley Act of 2002 (the “</w:t>
      </w:r>
      <w:r>
        <w:rPr>
          <w:rFonts w:ascii="Arial" w:cs="Arial" w:eastAsia="Arial" w:hAnsi="Arial"/>
          <w:sz w:val="18"/>
          <w:szCs w:val="18"/>
          <w:u w:val="single" w:color="auto"/>
          <w:color w:val="auto"/>
        </w:rPr>
        <w:t>Sarbanes-Oxley Act</w:t>
      </w:r>
      <w:r>
        <w:rPr>
          <w:rFonts w:ascii="Arial" w:cs="Arial" w:eastAsia="Arial" w:hAnsi="Arial"/>
          <w:sz w:val="18"/>
          <w:szCs w:val="18"/>
          <w:color w:val="auto"/>
        </w:rPr>
        <w:t>”) or Section 954 of the Dodd-Frank Wall Street Reform and Consumer Protection Act, or the payment to the Company of profits arising from the purchase and sale by Indemnitee of securities in violation of Section 306 of the Sarbanes-Oxley Act); provided, however, that to the fullest extent permitted by applicable law and to the extent Indemnitee is successful on the merits or otherwise with respect to any such Proceeding, the Expenses actually and reasonably incurred by Indemnitee in connection with any such Proceeding shall be deemed to be Expenses that are subject to indemnification hereunder.</w:t>
      </w:r>
    </w:p>
    <w:p>
      <w:pPr>
        <w:spacing w:after="0" w:line="185" w:lineRule="exact"/>
        <w:rPr>
          <w:rFonts w:ascii="Arial" w:cs="Arial" w:eastAsia="Arial" w:hAnsi="Arial"/>
          <w:sz w:val="18"/>
          <w:szCs w:val="18"/>
          <w:color w:val="auto"/>
        </w:rPr>
      </w:pPr>
    </w:p>
    <w:p>
      <w:pPr>
        <w:ind w:left="1260" w:hanging="618"/>
        <w:spacing w:after="0"/>
        <w:tabs>
          <w:tab w:leader="none" w:pos="1260" w:val="left"/>
        </w:tabs>
        <w:numPr>
          <w:ilvl w:val="1"/>
          <w:numId w:val="49"/>
        </w:numPr>
        <w:rPr>
          <w:rFonts w:ascii="Arial" w:cs="Arial" w:eastAsia="Arial" w:hAnsi="Arial"/>
          <w:sz w:val="18"/>
          <w:szCs w:val="18"/>
          <w:color w:val="auto"/>
        </w:rPr>
      </w:pPr>
      <w:r>
        <w:rPr>
          <w:rFonts w:ascii="Arial" w:cs="Arial" w:eastAsia="Arial" w:hAnsi="Arial"/>
          <w:sz w:val="18"/>
          <w:szCs w:val="18"/>
          <w:b w:val="1"/>
          <w:bCs w:val="1"/>
          <w:u w:val="single" w:color="auto"/>
          <w:color w:val="auto"/>
        </w:rPr>
        <w:t>Contribution Claims</w:t>
      </w:r>
      <w:r>
        <w:rPr>
          <w:rFonts w:ascii="Arial" w:cs="Arial" w:eastAsia="Arial" w:hAnsi="Arial"/>
          <w:sz w:val="18"/>
          <w:szCs w:val="18"/>
          <w:b w:val="1"/>
          <w:bCs w:val="1"/>
          <w:color w:val="auto"/>
        </w:rPr>
        <w:t>.</w:t>
      </w:r>
    </w:p>
    <w:p>
      <w:pPr>
        <w:spacing w:after="0" w:line="219" w:lineRule="exact"/>
        <w:rPr>
          <w:rFonts w:ascii="Arial" w:cs="Arial" w:eastAsia="Arial" w:hAnsi="Arial"/>
          <w:sz w:val="18"/>
          <w:szCs w:val="18"/>
          <w:color w:val="auto"/>
        </w:rPr>
      </w:pPr>
    </w:p>
    <w:p>
      <w:pPr>
        <w:jc w:val="both"/>
        <w:ind w:firstLine="1278"/>
        <w:spacing w:after="0" w:line="260" w:lineRule="auto"/>
        <w:tabs>
          <w:tab w:leader="none" w:pos="1898" w:val="left"/>
        </w:tabs>
        <w:numPr>
          <w:ilvl w:val="2"/>
          <w:numId w:val="49"/>
        </w:numPr>
        <w:rPr>
          <w:rFonts w:ascii="Arial" w:cs="Arial" w:eastAsia="Arial" w:hAnsi="Arial"/>
          <w:sz w:val="18"/>
          <w:szCs w:val="18"/>
          <w:color w:val="auto"/>
        </w:rPr>
      </w:pPr>
      <w:r>
        <w:rPr>
          <w:rFonts w:ascii="Arial" w:cs="Arial" w:eastAsia="Arial" w:hAnsi="Arial"/>
          <w:sz w:val="18"/>
          <w:szCs w:val="18"/>
          <w:color w:val="auto"/>
        </w:rPr>
        <w:t>If the indemnification provided in Section 1 is unavailable in whole or in part and may not be paid to Indemnitee for any reason other than those set forth in Section 7, then in respect to any Proceeding in which the Company is jointly liable with Indemnitee (or would be if joined in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395" w:right="339" w:bottom="1440" w:gutter="0" w:footer="0" w:header="0"/>
        </w:sectPr>
      </w:pPr>
    </w:p>
    <w:bookmarkStart w:id="95" w:name="page96"/>
    <w:bookmarkEnd w:id="95"/>
    <w:p>
      <w:pPr>
        <w:jc w:val="both"/>
        <w:spacing w:after="0" w:line="255" w:lineRule="auto"/>
        <w:rPr>
          <w:sz w:val="20"/>
          <w:szCs w:val="20"/>
          <w:color w:val="auto"/>
        </w:rPr>
      </w:pPr>
      <w:r>
        <w:rPr>
          <w:rFonts w:ascii="Arial" w:cs="Arial" w:eastAsia="Arial" w:hAnsi="Arial"/>
          <w:sz w:val="18"/>
          <w:szCs w:val="18"/>
          <w:color w:val="auto"/>
        </w:rPr>
        <w:t>Proceeding), to the fullest extent permitted by applicable law, the Company, in lieu of indemnifying Indemnitee, shall pay, in the first instance, the entire amount incurred by Indemnitee, whether for Expenses, judgments, fines, losses, liabilities, penalties, and amounts paid in settlement, in connection with any Proceeding without requiring Indemnitee to contribute to such payment, and the Company hereby waives and relinquishes any right of contribution it may have at any time against Indemnitee.</w:t>
      </w:r>
    </w:p>
    <w:p>
      <w:pPr>
        <w:spacing w:after="0" w:line="180" w:lineRule="exact"/>
        <w:rPr>
          <w:sz w:val="20"/>
          <w:szCs w:val="20"/>
          <w:color w:val="auto"/>
        </w:rPr>
      </w:pPr>
    </w:p>
    <w:p>
      <w:pPr>
        <w:jc w:val="both"/>
        <w:ind w:firstLine="1278"/>
        <w:spacing w:after="0" w:line="247" w:lineRule="auto"/>
        <w:tabs>
          <w:tab w:leader="none" w:pos="1898" w:val="left"/>
        </w:tabs>
        <w:numPr>
          <w:ilvl w:val="1"/>
          <w:numId w:val="50"/>
        </w:numPr>
        <w:rPr>
          <w:rFonts w:ascii="Arial" w:cs="Arial" w:eastAsia="Arial" w:hAnsi="Arial"/>
          <w:sz w:val="18"/>
          <w:szCs w:val="18"/>
          <w:color w:val="auto"/>
        </w:rPr>
      </w:pPr>
      <w:r>
        <w:rPr>
          <w:rFonts w:ascii="Arial" w:cs="Arial" w:eastAsia="Arial" w:hAnsi="Arial"/>
          <w:sz w:val="18"/>
          <w:szCs w:val="18"/>
          <w:color w:val="auto"/>
        </w:rPr>
        <w:t>Without diminishing or impairing the obligations of the Company set forth in the preceding Section 8(a), if, for any reason, Indemnitee shall elect or be required to pay all or any portion of any Expenses, judgments, fines, losses, liabilities, penalties and amounts paid in settlement in any Proceeding in which the Company is jointly liable with Indemnitee (or would be if joined in such Proceeding), the Company shall contribute to the amount of Expenses, judgments, fines, losses, liabilities, penalties and amounts paid in settlement actually and reasonably incurred and paid or payable by Indemnitee in proportion to the relative benefits received by the Company and all officers, directors or employees of the Company, other than Indemnitee, who are jointly liable with Indemnitee (or would be if joined in such Proceeding), on the one hand, and Indemnitee, on the other hand, from the transaction or events from which such Proceeding arose; provided, however, that the proportion determined on the basis of relative benefit may, to the extent necessary to conform to law, be further adjusted by reference to the relative fault of the Company and all officers, directors or employees of the Company other than Indemnitee who are jointly liable with Indemnitee (or would be if joined in such Proceeding), on the one hand, and Indemnitee, on the other hand, in connection with the transaction or events that resulted in such Expenses, judgments, fines, losses, liabilities, penalties or settlement amounts, as well as any other equitable considerations which applicable law may require to be considered. The relative fault of the Company and all officers, directors or employees of the Company, other than Indemnitee, who are jointly liable with Indemnitee (or would be if joined in such Proceeding), on the one hand, and Indemnitee, on the other hand, shall be determined by reference to, among other things, the degree to which their actions were motivated by intent to gain personal profit or advantage, the degree to which their liability is primary or secondary and the degree to which their conduct is active or passive.</w:t>
      </w:r>
    </w:p>
    <w:p>
      <w:pPr>
        <w:spacing w:after="0" w:line="195" w:lineRule="exact"/>
        <w:rPr>
          <w:rFonts w:ascii="Arial" w:cs="Arial" w:eastAsia="Arial" w:hAnsi="Arial"/>
          <w:sz w:val="18"/>
          <w:szCs w:val="18"/>
          <w:color w:val="auto"/>
        </w:rPr>
      </w:pPr>
    </w:p>
    <w:p>
      <w:pPr>
        <w:jc w:val="both"/>
        <w:ind w:firstLine="1278"/>
        <w:spacing w:after="0" w:line="253" w:lineRule="auto"/>
        <w:tabs>
          <w:tab w:leader="none" w:pos="1902" w:val="left"/>
        </w:tabs>
        <w:numPr>
          <w:ilvl w:val="1"/>
          <w:numId w:val="50"/>
        </w:numPr>
        <w:rPr>
          <w:rFonts w:ascii="Arial" w:cs="Arial" w:eastAsia="Arial" w:hAnsi="Arial"/>
          <w:sz w:val="18"/>
          <w:szCs w:val="18"/>
          <w:color w:val="auto"/>
        </w:rPr>
      </w:pPr>
      <w:r>
        <w:rPr>
          <w:rFonts w:ascii="Arial" w:cs="Arial" w:eastAsia="Arial" w:hAnsi="Arial"/>
          <w:sz w:val="18"/>
          <w:szCs w:val="18"/>
          <w:color w:val="auto"/>
        </w:rPr>
        <w:t>With respect to a Proceeding brought against directors, officers, employees or agents of the Company (other than Indemnitee), to the fullest extent permitted by applicable law, the Company shall indemnify Indemnitee from any claims for contribution that may be brought by any such directors, officers, employees or agents of the Company (other than Indemnitee) who may be jointly liable with Indemnitee, to the same extent Indemnitee would have been entitled to such indemnification under this Agreement if such Proceeding had been brought against Indemnitee.</w:t>
      </w:r>
    </w:p>
    <w:p>
      <w:pPr>
        <w:spacing w:after="0" w:line="179" w:lineRule="exact"/>
        <w:rPr>
          <w:rFonts w:ascii="Arial" w:cs="Arial" w:eastAsia="Arial" w:hAnsi="Arial"/>
          <w:sz w:val="18"/>
          <w:szCs w:val="18"/>
          <w:color w:val="auto"/>
        </w:rPr>
      </w:pPr>
    </w:p>
    <w:p>
      <w:pPr>
        <w:ind w:firstLine="642"/>
        <w:spacing w:after="0" w:line="276" w:lineRule="auto"/>
        <w:tabs>
          <w:tab w:leader="none" w:pos="1260" w:val="left"/>
        </w:tabs>
        <w:numPr>
          <w:ilvl w:val="0"/>
          <w:numId w:val="51"/>
        </w:numPr>
        <w:rPr>
          <w:rFonts w:ascii="Arial" w:cs="Arial" w:eastAsia="Arial" w:hAnsi="Arial"/>
          <w:sz w:val="18"/>
          <w:szCs w:val="18"/>
          <w:color w:val="auto"/>
        </w:rPr>
      </w:pPr>
      <w:r>
        <w:rPr>
          <w:rFonts w:ascii="Arial" w:cs="Arial" w:eastAsia="Arial" w:hAnsi="Arial"/>
          <w:sz w:val="18"/>
          <w:szCs w:val="18"/>
          <w:b w:val="1"/>
          <w:bCs w:val="1"/>
          <w:u w:val="single" w:color="auto"/>
          <w:color w:val="auto"/>
        </w:rPr>
        <w:t>No Imputation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knowledge and/or actions, or failure to act, of any director, officer, agent or employee of the Company or</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itself shall not be imputed to Indemnitee for purposes of determining any rights under this Agreement.</w:t>
      </w:r>
    </w:p>
    <w:p>
      <w:pPr>
        <w:spacing w:after="0" w:line="159" w:lineRule="exact"/>
        <w:rPr>
          <w:rFonts w:ascii="Arial" w:cs="Arial" w:eastAsia="Arial" w:hAnsi="Arial"/>
          <w:sz w:val="18"/>
          <w:szCs w:val="18"/>
          <w:color w:val="auto"/>
        </w:rPr>
      </w:pPr>
    </w:p>
    <w:p>
      <w:pPr>
        <w:jc w:val="both"/>
        <w:ind w:firstLine="642"/>
        <w:spacing w:after="0" w:line="249" w:lineRule="auto"/>
        <w:tabs>
          <w:tab w:leader="none" w:pos="1266" w:val="left"/>
        </w:tabs>
        <w:numPr>
          <w:ilvl w:val="0"/>
          <w:numId w:val="51"/>
        </w:numPr>
        <w:rPr>
          <w:rFonts w:ascii="Arial" w:cs="Arial" w:eastAsia="Arial" w:hAnsi="Arial"/>
          <w:sz w:val="18"/>
          <w:szCs w:val="18"/>
          <w:color w:val="auto"/>
        </w:rPr>
      </w:pPr>
      <w:r>
        <w:rPr>
          <w:rFonts w:ascii="Arial" w:cs="Arial" w:eastAsia="Arial" w:hAnsi="Arial"/>
          <w:sz w:val="18"/>
          <w:szCs w:val="18"/>
          <w:b w:val="1"/>
          <w:bCs w:val="1"/>
          <w:u w:val="single" w:color="auto"/>
          <w:color w:val="auto"/>
        </w:rPr>
        <w:t>Determination of Good Faith</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purposes of any determination of good faith, Indemnitee shall be deemed to have acted in</w:t>
      </w:r>
      <w:r>
        <w:rPr>
          <w:rFonts w:ascii="Arial" w:cs="Arial" w:eastAsia="Arial" w:hAnsi="Arial"/>
          <w:sz w:val="18"/>
          <w:szCs w:val="18"/>
          <w:b w:val="1"/>
          <w:bCs w:val="1"/>
          <w:color w:val="auto"/>
        </w:rPr>
        <w:t xml:space="preserve"> </w:t>
      </w:r>
      <w:r>
        <w:rPr>
          <w:rFonts w:ascii="Arial" w:cs="Arial" w:eastAsia="Arial" w:hAnsi="Arial"/>
          <w:sz w:val="18"/>
          <w:szCs w:val="18"/>
          <w:color w:val="auto"/>
        </w:rPr>
        <w:t>good faith if Indemnitee’s action is based on the records or books of account of the Enterprise, including financial statements, or on information supplied to Indemnitee by the officers of the Enterprise in the course of their duties, or on the advice of legal counsel for the Enterprise or the Board of Directors of the Enterprise or any counsel selected by any committee of the Board of Directors of the Enterprise or on information or records given or reports made to the Enterprise by an independent certified public accountant or by an appraiser, investment banker, compensation consultant or other expert selected with reasonable care by the Enterprise or the Board of Directors of the Enterprise or any committee thereof. The provisions of this Section 10 shall not be deemed to be exclusive or to limit in any way the other circumstances in which the Indemnitee may be deemed to have met the applicable standard of conduct. Whether or not the foregoing provisions of this Section are satisfied, it shall in any event be presumed that Indemnitee has at all times acted in good faith and in a manner Indemnitee reasonably believed to be in or not opposed to the best interests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395" w:right="339" w:bottom="1440" w:gutter="0" w:footer="0" w:header="0"/>
        </w:sectPr>
      </w:pPr>
    </w:p>
    <w:bookmarkStart w:id="96" w:name="page97"/>
    <w:bookmarkEnd w:id="96"/>
    <w:p>
      <w:pPr>
        <w:ind w:left="1060" w:hanging="618"/>
        <w:spacing w:after="0"/>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Defined Terms and Phrases</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purposes of this Agreement, the following terms shall have the following meanings:</w:t>
      </w:r>
    </w:p>
    <w:p>
      <w:pPr>
        <w:spacing w:after="0" w:line="219" w:lineRule="exact"/>
        <w:rPr>
          <w:rFonts w:ascii="Arial" w:cs="Arial" w:eastAsia="Arial" w:hAnsi="Arial"/>
          <w:sz w:val="18"/>
          <w:szCs w:val="18"/>
          <w:color w:val="auto"/>
        </w:rPr>
      </w:pPr>
    </w:p>
    <w:p>
      <w:pPr>
        <w:ind w:left="-200" w:firstLine="1278"/>
        <w:spacing w:after="0" w:line="274" w:lineRule="auto"/>
        <w:tabs>
          <w:tab w:leader="none" w:pos="1698" w:val="left"/>
        </w:tabs>
        <w:numPr>
          <w:ilvl w:val="1"/>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w:t>
      </w:r>
      <w:r>
        <w:rPr>
          <w:rFonts w:ascii="Arial" w:cs="Arial" w:eastAsia="Arial" w:hAnsi="Arial"/>
          <w:sz w:val="18"/>
          <w:szCs w:val="18"/>
          <w:color w:val="auto"/>
        </w:rPr>
        <w:t>” and “</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shall have the meanings set forth in Rule 13d-3 promulgated under the Exchange Act as in effect on the date hereof.</w:t>
      </w:r>
    </w:p>
    <w:p>
      <w:pPr>
        <w:spacing w:after="0" w:line="163" w:lineRule="exact"/>
        <w:rPr>
          <w:rFonts w:ascii="Arial" w:cs="Arial" w:eastAsia="Arial" w:hAnsi="Arial"/>
          <w:sz w:val="18"/>
          <w:szCs w:val="18"/>
          <w:color w:val="auto"/>
        </w:rPr>
      </w:pPr>
    </w:p>
    <w:p>
      <w:pPr>
        <w:ind w:left="1700" w:hanging="622"/>
        <w:spacing w:after="0"/>
        <w:tabs>
          <w:tab w:leader="none" w:pos="17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shall be deemed to occur upon the earliest of any of the following events:</w:t>
      </w:r>
    </w:p>
    <w:p>
      <w:pPr>
        <w:spacing w:after="0" w:line="217" w:lineRule="exact"/>
        <w:rPr>
          <w:rFonts w:ascii="Arial" w:cs="Arial" w:eastAsia="Arial" w:hAnsi="Arial"/>
          <w:sz w:val="18"/>
          <w:szCs w:val="18"/>
          <w:color w:val="auto"/>
        </w:rPr>
      </w:pPr>
    </w:p>
    <w:p>
      <w:pPr>
        <w:jc w:val="both"/>
        <w:ind w:left="-200" w:firstLine="1914"/>
        <w:spacing w:after="0" w:line="251" w:lineRule="auto"/>
        <w:tabs>
          <w:tab w:leader="none" w:pos="2342" w:val="left"/>
        </w:tabs>
        <w:numPr>
          <w:ilvl w:val="2"/>
          <w:numId w:val="52"/>
        </w:numPr>
        <w:rPr>
          <w:rFonts w:ascii="Arial" w:cs="Arial" w:eastAsia="Arial" w:hAnsi="Arial"/>
          <w:sz w:val="18"/>
          <w:szCs w:val="18"/>
          <w:color w:val="auto"/>
        </w:rPr>
      </w:pPr>
      <w:r>
        <w:rPr>
          <w:rFonts w:ascii="Arial" w:cs="Arial" w:eastAsia="Arial" w:hAnsi="Arial"/>
          <w:sz w:val="18"/>
          <w:szCs w:val="18"/>
          <w:u w:val="single" w:color="auto"/>
          <w:color w:val="auto"/>
        </w:rPr>
        <w:t>Acquisition of Stock by Third Party</w:t>
      </w:r>
      <w:r>
        <w:rPr>
          <w:rFonts w:ascii="Arial" w:cs="Arial" w:eastAsia="Arial" w:hAnsi="Arial"/>
          <w:sz w:val="18"/>
          <w:szCs w:val="18"/>
          <w:color w:val="auto"/>
        </w:rPr>
        <w:t>. Any Person becomes the Beneficial Owner, directly or indirectly, of securities of the Company representing ten percent (10%)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and such acquisition would not constitute a Change of Control under part (iii) of this definition.</w:t>
      </w:r>
    </w:p>
    <w:p>
      <w:pPr>
        <w:spacing w:after="0" w:line="185" w:lineRule="exact"/>
        <w:rPr>
          <w:rFonts w:ascii="Arial" w:cs="Arial" w:eastAsia="Arial" w:hAnsi="Arial"/>
          <w:sz w:val="18"/>
          <w:szCs w:val="18"/>
          <w:color w:val="auto"/>
        </w:rPr>
      </w:pPr>
    </w:p>
    <w:p>
      <w:pPr>
        <w:jc w:val="both"/>
        <w:ind w:left="-200" w:firstLine="1914"/>
        <w:spacing w:after="0" w:line="255" w:lineRule="auto"/>
        <w:tabs>
          <w:tab w:leader="none" w:pos="2341" w:val="left"/>
        </w:tabs>
        <w:numPr>
          <w:ilvl w:val="2"/>
          <w:numId w:val="52"/>
        </w:numPr>
        <w:rPr>
          <w:rFonts w:ascii="Arial" w:cs="Arial" w:eastAsia="Arial" w:hAnsi="Arial"/>
          <w:sz w:val="18"/>
          <w:szCs w:val="18"/>
          <w:color w:val="auto"/>
        </w:rPr>
      </w:pPr>
      <w:r>
        <w:rPr>
          <w:rFonts w:ascii="Arial" w:cs="Arial" w:eastAsia="Arial" w:hAnsi="Arial"/>
          <w:sz w:val="18"/>
          <w:szCs w:val="18"/>
          <w:u w:val="single" w:color="auto"/>
          <w:color w:val="auto"/>
        </w:rPr>
        <w:t>Change in Board of Directors</w:t>
      </w:r>
      <w:r>
        <w:rPr>
          <w:rFonts w:ascii="Arial" w:cs="Arial" w:eastAsia="Arial" w:hAnsi="Arial"/>
          <w:sz w:val="18"/>
          <w:szCs w:val="18"/>
          <w:color w:val="auto"/>
        </w:rPr>
        <w:t>. Individuals who, as of the date of this Agreement, constitute the Company’s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and any new director whose election by the Board or nomination for election by the Company’s stockholders was approved by a vote of at least two thirds of the directors then still in office who were directors on the date of this Agreement (collectively, the “</w:t>
      </w:r>
      <w:r>
        <w:rPr>
          <w:rFonts w:ascii="Arial" w:cs="Arial" w:eastAsia="Arial" w:hAnsi="Arial"/>
          <w:sz w:val="18"/>
          <w:szCs w:val="18"/>
          <w:u w:val="single" w:color="auto"/>
          <w:color w:val="auto"/>
        </w:rPr>
        <w:t>Continuing Directors</w:t>
      </w:r>
      <w:r>
        <w:rPr>
          <w:rFonts w:ascii="Arial" w:cs="Arial" w:eastAsia="Arial" w:hAnsi="Arial"/>
          <w:sz w:val="18"/>
          <w:szCs w:val="18"/>
          <w:color w:val="auto"/>
        </w:rPr>
        <w:t>”), cease for any reason to constitute at least a majority of the members of the Board.</w:t>
      </w:r>
    </w:p>
    <w:p>
      <w:pPr>
        <w:spacing w:after="0" w:line="180" w:lineRule="exact"/>
        <w:rPr>
          <w:rFonts w:ascii="Arial" w:cs="Arial" w:eastAsia="Arial" w:hAnsi="Arial"/>
          <w:sz w:val="18"/>
          <w:szCs w:val="18"/>
          <w:color w:val="auto"/>
        </w:rPr>
      </w:pPr>
    </w:p>
    <w:p>
      <w:pPr>
        <w:jc w:val="both"/>
        <w:ind w:left="-200" w:firstLine="1914"/>
        <w:spacing w:after="0" w:line="248" w:lineRule="auto"/>
        <w:tabs>
          <w:tab w:leader="none" w:pos="2341" w:val="left"/>
        </w:tabs>
        <w:numPr>
          <w:ilvl w:val="2"/>
          <w:numId w:val="52"/>
        </w:numPr>
        <w:rPr>
          <w:rFonts w:ascii="Arial" w:cs="Arial" w:eastAsia="Arial" w:hAnsi="Arial"/>
          <w:sz w:val="18"/>
          <w:szCs w:val="18"/>
          <w:color w:val="auto"/>
        </w:rPr>
      </w:pPr>
      <w:r>
        <w:rPr>
          <w:rFonts w:ascii="Arial" w:cs="Arial" w:eastAsia="Arial" w:hAnsi="Arial"/>
          <w:sz w:val="18"/>
          <w:szCs w:val="18"/>
          <w:u w:val="single" w:color="auto"/>
          <w:color w:val="auto"/>
        </w:rPr>
        <w:t>Corporate Transaction</w:t>
      </w:r>
      <w:r>
        <w:rPr>
          <w:rFonts w:ascii="Arial" w:cs="Arial" w:eastAsia="Arial" w:hAnsi="Arial"/>
          <w:sz w:val="18"/>
          <w:szCs w:val="18"/>
          <w:color w:val="auto"/>
        </w:rPr>
        <w:t>. The effective date of a reorganization, merger or consolidation of the Company (a “</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51% of the combined voting power of the then outstanding securities of the Company entitled to vote generally in the election of directors resulting from such Business Combination (including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securities entitled to vote generally in the election of directors and with the power to elect at least a majority of the Board or other governing body of the surviving entity; (2) no Person (excluding any corporation resulting from such Business Combination) is the Beneficial Owner, directly or indirectly, of 15% or more of the combined voting power of the then outstanding securities entitled to vote generally in the election of directors of such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187" w:lineRule="exact"/>
        <w:rPr>
          <w:rFonts w:ascii="Arial" w:cs="Arial" w:eastAsia="Arial" w:hAnsi="Arial"/>
          <w:sz w:val="18"/>
          <w:szCs w:val="18"/>
          <w:color w:val="auto"/>
        </w:rPr>
      </w:pPr>
    </w:p>
    <w:p>
      <w:pPr>
        <w:jc w:val="both"/>
        <w:ind w:left="-200" w:firstLine="1914"/>
        <w:spacing w:after="0" w:line="255" w:lineRule="auto"/>
        <w:tabs>
          <w:tab w:leader="none" w:pos="2337" w:val="left"/>
        </w:tabs>
        <w:numPr>
          <w:ilvl w:val="2"/>
          <w:numId w:val="52"/>
        </w:numPr>
        <w:rPr>
          <w:rFonts w:ascii="Arial" w:cs="Arial" w:eastAsia="Arial" w:hAnsi="Arial"/>
          <w:sz w:val="18"/>
          <w:szCs w:val="18"/>
          <w:color w:val="auto"/>
        </w:rPr>
      </w:pPr>
      <w:r>
        <w:rPr>
          <w:rFonts w:ascii="Arial" w:cs="Arial" w:eastAsia="Arial" w:hAnsi="Arial"/>
          <w:sz w:val="18"/>
          <w:szCs w:val="18"/>
          <w:u w:val="single" w:color="auto"/>
          <w:color w:val="auto"/>
        </w:rPr>
        <w:t>Liquidation</w:t>
      </w:r>
      <w:r>
        <w:rPr>
          <w:rFonts w:ascii="Arial" w:cs="Arial" w:eastAsia="Arial" w:hAnsi="Arial"/>
          <w:sz w:val="18"/>
          <w:szCs w:val="18"/>
          <w:color w:val="auto"/>
        </w:rPr>
        <w:t>. The approval by the Company’s stockholders of a complete liquidation of the Company or an agreement or series of agreements for the sale or disposition by the Company of all or substantially all of the Company’s assets, other than factoring the Company’s current receivables or escrows due (or, if such approval is not required, the decision by the Board to proceed with such a liquidation, sale or disposition in one transaction or a series of related transactions).</w:t>
      </w:r>
    </w:p>
    <w:p>
      <w:pPr>
        <w:spacing w:after="0" w:line="180" w:lineRule="exact"/>
        <w:rPr>
          <w:rFonts w:ascii="Arial" w:cs="Arial" w:eastAsia="Arial" w:hAnsi="Arial"/>
          <w:sz w:val="18"/>
          <w:szCs w:val="18"/>
          <w:color w:val="auto"/>
        </w:rPr>
      </w:pPr>
    </w:p>
    <w:p>
      <w:pPr>
        <w:jc w:val="both"/>
        <w:ind w:left="-200" w:firstLine="1914"/>
        <w:spacing w:after="0" w:line="260" w:lineRule="auto"/>
        <w:tabs>
          <w:tab w:leader="none" w:pos="2338" w:val="left"/>
        </w:tabs>
        <w:numPr>
          <w:ilvl w:val="2"/>
          <w:numId w:val="52"/>
        </w:numPr>
        <w:rPr>
          <w:rFonts w:ascii="Arial" w:cs="Arial" w:eastAsia="Arial" w:hAnsi="Arial"/>
          <w:sz w:val="18"/>
          <w:szCs w:val="18"/>
          <w:color w:val="auto"/>
        </w:rPr>
      </w:pPr>
      <w:r>
        <w:rPr>
          <w:rFonts w:ascii="Arial" w:cs="Arial" w:eastAsia="Arial" w:hAnsi="Arial"/>
          <w:sz w:val="18"/>
          <w:szCs w:val="18"/>
          <w:u w:val="single" w:color="auto"/>
          <w:color w:val="auto"/>
        </w:rPr>
        <w:t>Other Events</w:t>
      </w:r>
      <w:r>
        <w:rPr>
          <w:rFonts w:ascii="Arial" w:cs="Arial" w:eastAsia="Arial" w:hAnsi="Arial"/>
          <w:sz w:val="18"/>
          <w:szCs w:val="18"/>
          <w:color w:val="auto"/>
        </w:rPr>
        <w:t>. There occurs any other event of a nature that would be required to be reported in response to Item 6(e) of Schedule 14A of Regulation 14A (or a response to any similar item or any similar schedule or form) promulgated under the Exchange Act whether or not the Company is then subject to such reporting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40"/>
          </w:cols>
          <w:pgMar w:left="520" w:top="1393" w:right="339" w:bottom="1440" w:gutter="0" w:footer="0" w:header="0"/>
        </w:sectPr>
      </w:pPr>
    </w:p>
    <w:bookmarkStart w:id="97" w:name="page98"/>
    <w:bookmarkEnd w:id="97"/>
    <w:p>
      <w:pPr>
        <w:jc w:val="both"/>
        <w:ind w:left="-6" w:firstLine="1278"/>
        <w:spacing w:after="0" w:line="250" w:lineRule="auto"/>
        <w:tabs>
          <w:tab w:leader="none" w:pos="1896" w:val="left"/>
        </w:tabs>
        <w:numPr>
          <w:ilvl w:val="1"/>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if Indemnitee is or was a director, officer, employee or agent of such constituent corporation, or is or was serving at the request of such constituent corporation as a director, officer, trustee, general partner, managing member, fiduciary, employee or agent of any other enterprise, Indemnitee shall stand in the same position under the provisions of this Agreement with respect to the resulting or surviving corporation as Indemnitee would have with respect to such constituent corporation if its separate existence had continued.</w:t>
      </w:r>
    </w:p>
    <w:p>
      <w:pPr>
        <w:spacing w:after="0" w:line="186" w:lineRule="exact"/>
        <w:rPr>
          <w:rFonts w:ascii="Arial" w:cs="Arial" w:eastAsia="Arial" w:hAnsi="Arial"/>
          <w:sz w:val="18"/>
          <w:szCs w:val="18"/>
          <w:color w:val="auto"/>
        </w:rPr>
      </w:pPr>
    </w:p>
    <w:p>
      <w:pPr>
        <w:jc w:val="both"/>
        <w:ind w:left="-6" w:firstLine="1278"/>
        <w:spacing w:after="0" w:line="260" w:lineRule="auto"/>
        <w:tabs>
          <w:tab w:leader="none" w:pos="1892" w:val="left"/>
        </w:tabs>
        <w:numPr>
          <w:ilvl w:val="1"/>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Enterprise</w:t>
      </w:r>
      <w:r>
        <w:rPr>
          <w:rFonts w:ascii="Arial" w:cs="Arial" w:eastAsia="Arial" w:hAnsi="Arial"/>
          <w:sz w:val="18"/>
          <w:szCs w:val="18"/>
          <w:color w:val="auto"/>
        </w:rPr>
        <w:t>” means the Company and any other enterprise that Indemnitee was or is serving at the request of the Company as a director, officer, partner (general, limited or otherwise), member (managing or otherwise), trustee, fiduciary, employee or agent, including as a deemed fiduciary thereto.</w:t>
      </w:r>
    </w:p>
    <w:p>
      <w:pPr>
        <w:spacing w:after="0" w:line="175" w:lineRule="exact"/>
        <w:rPr>
          <w:rFonts w:ascii="Arial" w:cs="Arial" w:eastAsia="Arial" w:hAnsi="Arial"/>
          <w:sz w:val="18"/>
          <w:szCs w:val="18"/>
          <w:color w:val="auto"/>
        </w:rPr>
      </w:pPr>
    </w:p>
    <w:p>
      <w:pPr>
        <w:ind w:left="1894" w:hanging="622"/>
        <w:spacing w:after="0"/>
        <w:tabs>
          <w:tab w:leader="none" w:pos="1894" w:val="left"/>
        </w:tabs>
        <w:numPr>
          <w:ilvl w:val="1"/>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17" w:lineRule="exact"/>
        <w:rPr>
          <w:rFonts w:ascii="Arial" w:cs="Arial" w:eastAsia="Arial" w:hAnsi="Arial"/>
          <w:sz w:val="18"/>
          <w:szCs w:val="18"/>
          <w:color w:val="auto"/>
        </w:rPr>
      </w:pPr>
    </w:p>
    <w:p>
      <w:pPr>
        <w:jc w:val="both"/>
        <w:ind w:left="-6" w:firstLine="1278"/>
        <w:spacing w:after="0" w:line="248" w:lineRule="auto"/>
        <w:tabs>
          <w:tab w:leader="none" w:pos="1896" w:val="left"/>
        </w:tabs>
        <w:numPr>
          <w:ilvl w:val="1"/>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Expenses</w:t>
      </w:r>
      <w:r>
        <w:rPr>
          <w:rFonts w:ascii="Arial" w:cs="Arial" w:eastAsia="Arial" w:hAnsi="Arial"/>
          <w:sz w:val="18"/>
          <w:szCs w:val="18"/>
          <w:color w:val="auto"/>
        </w:rPr>
        <w:t>” shall include all direct and indirect costs, fees and expenses of any type or nature whatsoever, including all attorneys’ fees and costs, retainers, court costs, transcript costs, fees of experts, witness fees, travel expenses, fees of private investigators and professional advisors, duplicating costs, printing and binding costs, telephone charges, postage, delivery service fees, any federal, state, local or foreign taxes imposed on Indemnitee as a result of the actual or deemed receipt of any payment under this Agreement (including taxes that may be imposed upon the actual or deemed receipt of payments under this Agreement with respect to the imposition of federal, state, local or foreign taxes),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Expenses also shall include any of the foregoing expenses incurred in connection with any appeal resulting from any Proceeding, including the principal, premium, security for, and other costs relating to any costs bond, supersedes bond, or other appeal bond or its equivalent. Expenses also shall include any interest, assessment or other charges imposed thereon and costs incurred in preparing statements in support of payment requests hereunder. Expenses, however, shall not include amounts paid in settlement by Indemnitee or the amount of judgments or fines against Indemnitee.</w:t>
      </w:r>
    </w:p>
    <w:p>
      <w:pPr>
        <w:spacing w:after="0" w:line="189" w:lineRule="exact"/>
        <w:rPr>
          <w:rFonts w:ascii="Arial" w:cs="Arial" w:eastAsia="Arial" w:hAnsi="Arial"/>
          <w:sz w:val="18"/>
          <w:szCs w:val="18"/>
          <w:color w:val="auto"/>
        </w:rPr>
      </w:pPr>
    </w:p>
    <w:p>
      <w:pPr>
        <w:jc w:val="both"/>
        <w:ind w:left="-6" w:firstLine="1278"/>
        <w:spacing w:after="0" w:line="260" w:lineRule="auto"/>
        <w:tabs>
          <w:tab w:leader="none" w:pos="1892" w:val="left"/>
        </w:tabs>
        <w:numPr>
          <w:ilvl w:val="1"/>
          <w:numId w:val="5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Counsel</w:t>
      </w:r>
      <w:r>
        <w:rPr>
          <w:rFonts w:ascii="Arial" w:cs="Arial" w:eastAsia="Arial" w:hAnsi="Arial"/>
          <w:sz w:val="18"/>
          <w:szCs w:val="18"/>
          <w:color w:val="auto"/>
        </w:rPr>
        <w:t>” means an attorney or firm of attorneys, selected in accordance with the provisions of Section 2(c)(iii), who will not have otherwise performed services for the Company or Indemnitee within the last three years (other than with respect to matters concerning the rights of Indemnitee under this Agreement, or of other indemnitees under similar indemnity agreements).</w:t>
      </w:r>
    </w:p>
    <w:p>
      <w:pPr>
        <w:spacing w:after="0" w:line="175" w:lineRule="exact"/>
        <w:rPr>
          <w:rFonts w:ascii="Arial" w:cs="Arial" w:eastAsia="Arial" w:hAnsi="Arial"/>
          <w:sz w:val="18"/>
          <w:szCs w:val="18"/>
          <w:color w:val="auto"/>
        </w:rPr>
      </w:pPr>
    </w:p>
    <w:p>
      <w:pPr>
        <w:jc w:val="both"/>
        <w:ind w:left="-6" w:firstLine="1278"/>
        <w:spacing w:after="0" w:line="270" w:lineRule="auto"/>
        <w:tabs>
          <w:tab w:leader="none" w:pos="1892" w:val="left"/>
        </w:tabs>
        <w:numPr>
          <w:ilvl w:val="1"/>
          <w:numId w:val="5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shall have the meaning as set forth in Section 13(d) and 14(d) of the Exchange Act as in effect on the date hereof; provided, however, that “Person” shall exclude: (i) the Company; (ii) any direct or indirect majority owned subsidiaries of the Company;</w:t>
      </w:r>
    </w:p>
    <w:p>
      <w:pPr>
        <w:jc w:val="both"/>
        <w:ind w:left="-6" w:firstLine="6"/>
        <w:spacing w:after="0" w:line="250" w:lineRule="auto"/>
        <w:tabs>
          <w:tab w:leader="none" w:pos="304"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employee benefit plan of the Company or any direct or indirect majority owned subsidiaries of the Company or of any corporation owned, directly or indirectly, by the Company’s stockholders in substantially the same proportions as their ownership of stock of the Company (an “</w:t>
      </w:r>
      <w:r>
        <w:rPr>
          <w:rFonts w:ascii="Arial" w:cs="Arial" w:eastAsia="Arial" w:hAnsi="Arial"/>
          <w:sz w:val="18"/>
          <w:szCs w:val="18"/>
          <w:u w:val="single" w:color="auto"/>
          <w:color w:val="auto"/>
        </w:rPr>
        <w:t>Employee Benefit Plan</w:t>
      </w:r>
      <w:r>
        <w:rPr>
          <w:rFonts w:ascii="Arial" w:cs="Arial" w:eastAsia="Arial" w:hAnsi="Arial"/>
          <w:sz w:val="18"/>
          <w:szCs w:val="18"/>
          <w:color w:val="auto"/>
        </w:rPr>
        <w:t>”); and (iv) any trustee or other fiduciary holding securities under an Employee Benefit Plan.</w:t>
      </w:r>
    </w:p>
    <w:p>
      <w:pPr>
        <w:spacing w:after="0" w:line="185" w:lineRule="exact"/>
        <w:rPr>
          <w:rFonts w:ascii="Arial" w:cs="Arial" w:eastAsia="Arial" w:hAnsi="Arial"/>
          <w:sz w:val="18"/>
          <w:szCs w:val="18"/>
          <w:color w:val="auto"/>
        </w:rPr>
      </w:pPr>
    </w:p>
    <w:p>
      <w:pPr>
        <w:jc w:val="both"/>
        <w:ind w:left="-6" w:firstLine="1278"/>
        <w:spacing w:after="0" w:line="251" w:lineRule="auto"/>
        <w:tabs>
          <w:tab w:leader="none" w:pos="19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shall include any actual, threatened, pending or completed action, suit, arbitration, mediation, alternate dispute resolution mechanism, investigation (whether formal or informal), inquiry, administrative hearing, claim, or any other actual, threatened or completed proceeding, whether brought by a third party, a government agency, the Company or its Board of Directors or a committee thereof, whether in the right of the Company or otherwise and whether of a civil (including intentional or unintentional tort claims), criminal, administrative, legislative or investigative (formal or informal) nature, including any appeal therefrom, in which Indemnitee was, is, will or might be involved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94"/>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34"/>
          </w:cols>
          <w:pgMar w:left="326" w:top="1395" w:right="339" w:bottom="1440" w:gutter="0" w:footer="0" w:header="0"/>
        </w:sectPr>
      </w:pPr>
    </w:p>
    <w:bookmarkStart w:id="98" w:name="page99"/>
    <w:bookmarkEnd w:id="98"/>
    <w:p>
      <w:pPr>
        <w:jc w:val="both"/>
        <w:spacing w:after="0" w:line="251" w:lineRule="auto"/>
        <w:rPr>
          <w:sz w:val="20"/>
          <w:szCs w:val="20"/>
          <w:color w:val="auto"/>
        </w:rPr>
      </w:pPr>
      <w:r>
        <w:rPr>
          <w:rFonts w:ascii="Arial" w:cs="Arial" w:eastAsia="Arial" w:hAnsi="Arial"/>
          <w:sz w:val="18"/>
          <w:szCs w:val="18"/>
          <w:color w:val="auto"/>
        </w:rPr>
        <w:t>a party, potential party, non-party witness or otherwise by reason of the fact that Indemnitee is or was a director, officer, employee or agent of the Company, by reason of any action (or failure to act) taken by Indemnitee or of any action (or failure to act) on Indemnitee’s part while acting as a director, officer, employee or agent of the Company, or by reason of the fact that Indemnitee is or was serving at the request of the Company as a director, officer, partner (general, limited or otherwise), member (managing or otherwise), trustee, fiduciary, employee or agent of any other enterprise, in each case whether or not serving in such capacity at the time any liability or expense is incurred for which indemnification, reimbursement or advancement of expenses can be provided under this Agreement.</w:t>
      </w:r>
    </w:p>
    <w:p>
      <w:pPr>
        <w:spacing w:after="0" w:line="185" w:lineRule="exact"/>
        <w:rPr>
          <w:sz w:val="20"/>
          <w:szCs w:val="20"/>
          <w:color w:val="auto"/>
        </w:rPr>
      </w:pPr>
    </w:p>
    <w:p>
      <w:pPr>
        <w:jc w:val="both"/>
        <w:ind w:firstLine="1278"/>
        <w:spacing w:after="0" w:line="249" w:lineRule="auto"/>
        <w:tabs>
          <w:tab w:leader="none" w:pos="1906" w:val="left"/>
        </w:tabs>
        <w:numPr>
          <w:ilvl w:val="1"/>
          <w:numId w:val="55"/>
        </w:numPr>
        <w:rPr>
          <w:rFonts w:ascii="Arial" w:cs="Arial" w:eastAsia="Arial" w:hAnsi="Arial"/>
          <w:sz w:val="18"/>
          <w:szCs w:val="18"/>
          <w:color w:val="auto"/>
        </w:rPr>
      </w:pPr>
      <w:r>
        <w:rPr>
          <w:rFonts w:ascii="Arial" w:cs="Arial" w:eastAsia="Arial" w:hAnsi="Arial"/>
          <w:sz w:val="18"/>
          <w:szCs w:val="18"/>
          <w:color w:val="auto"/>
        </w:rPr>
        <w:t>In addition, references to “</w:t>
      </w:r>
      <w:r>
        <w:rPr>
          <w:rFonts w:ascii="Arial" w:cs="Arial" w:eastAsia="Arial" w:hAnsi="Arial"/>
          <w:sz w:val="18"/>
          <w:szCs w:val="18"/>
          <w:u w:val="single" w:color="auto"/>
          <w:color w:val="auto"/>
        </w:rPr>
        <w:t>other enterprise</w:t>
      </w:r>
      <w:r>
        <w:rPr>
          <w:rFonts w:ascii="Arial" w:cs="Arial" w:eastAsia="Arial" w:hAnsi="Arial"/>
          <w:sz w:val="18"/>
          <w:szCs w:val="18"/>
          <w:color w:val="auto"/>
        </w:rPr>
        <w:t>” shall include another corporation, partnership, limited liability company, joint venture, trust, employee benefit plan or any other enterprise; references to “</w:t>
      </w:r>
      <w:r>
        <w:rPr>
          <w:rFonts w:ascii="Arial" w:cs="Arial" w:eastAsia="Arial" w:hAnsi="Arial"/>
          <w:sz w:val="18"/>
          <w:szCs w:val="18"/>
          <w:u w:val="single" w:color="auto"/>
          <w:color w:val="auto"/>
        </w:rPr>
        <w:t>fines</w:t>
      </w:r>
      <w:r>
        <w:rPr>
          <w:rFonts w:ascii="Arial" w:cs="Arial" w:eastAsia="Arial" w:hAnsi="Arial"/>
          <w:sz w:val="18"/>
          <w:szCs w:val="18"/>
          <w:color w:val="auto"/>
        </w:rPr>
        <w:t>” shall include any excise taxes assessed on Indemnitee with respect to an employee benefit plan; references to “</w:t>
      </w:r>
      <w:r>
        <w:rPr>
          <w:rFonts w:ascii="Arial" w:cs="Arial" w:eastAsia="Arial" w:hAnsi="Arial"/>
          <w:sz w:val="18"/>
          <w:szCs w:val="18"/>
          <w:u w:val="single" w:color="auto"/>
          <w:color w:val="auto"/>
        </w:rPr>
        <w:t>serving at the request of the Company</w:t>
      </w:r>
      <w:r>
        <w:rPr>
          <w:rFonts w:ascii="Arial" w:cs="Arial" w:eastAsia="Arial" w:hAnsi="Arial"/>
          <w:sz w:val="18"/>
          <w:szCs w:val="18"/>
          <w:color w:val="auto"/>
        </w:rPr>
        <w:t>” shall include any service as a director, officer, employee or agent of the Company which imposes duties on or involves services by Indemnitee with respect to an employee benefit plan, its participants, or beneficiaries, including as a deemed fiduciary thereto; and if Indemnitee acted in good faith and in a manner Indemnitee reasonably believed to be in the interest of the participants and beneficiaries of an employee benefit plan, Indemnitee shall be deemed to have acted in a manner “</w:t>
      </w:r>
      <w:r>
        <w:rPr>
          <w:rFonts w:ascii="Arial" w:cs="Arial" w:eastAsia="Arial" w:hAnsi="Arial"/>
          <w:sz w:val="18"/>
          <w:szCs w:val="18"/>
          <w:u w:val="single" w:color="auto"/>
          <w:color w:val="auto"/>
        </w:rPr>
        <w:t>not opposed to the best interests of the Company</w:t>
      </w:r>
      <w:r>
        <w:rPr>
          <w:rFonts w:ascii="Arial" w:cs="Arial" w:eastAsia="Arial" w:hAnsi="Arial"/>
          <w:sz w:val="18"/>
          <w:szCs w:val="18"/>
          <w:color w:val="auto"/>
        </w:rPr>
        <w:t>” as referred to in this Agreement; references to “</w:t>
      </w:r>
      <w:r>
        <w:rPr>
          <w:rFonts w:ascii="Arial" w:cs="Arial" w:eastAsia="Arial" w:hAnsi="Arial"/>
          <w:sz w:val="18"/>
          <w:szCs w:val="18"/>
          <w:u w:val="single" w:color="auto"/>
          <w:color w:val="auto"/>
        </w:rPr>
        <w:t>include</w:t>
      </w:r>
      <w:r>
        <w:rPr>
          <w:rFonts w:ascii="Arial" w:cs="Arial" w:eastAsia="Arial" w:hAnsi="Arial"/>
          <w:sz w:val="18"/>
          <w:szCs w:val="18"/>
          <w:color w:val="auto"/>
        </w:rPr>
        <w:t>” or “</w:t>
      </w:r>
      <w:r>
        <w:rPr>
          <w:rFonts w:ascii="Arial" w:cs="Arial" w:eastAsia="Arial" w:hAnsi="Arial"/>
          <w:sz w:val="18"/>
          <w:szCs w:val="18"/>
          <w:u w:val="single" w:color="auto"/>
          <w:color w:val="auto"/>
        </w:rPr>
        <w:t>including</w:t>
      </w:r>
      <w:r>
        <w:rPr>
          <w:rFonts w:ascii="Arial" w:cs="Arial" w:eastAsia="Arial" w:hAnsi="Arial"/>
          <w:sz w:val="18"/>
          <w:szCs w:val="18"/>
          <w:color w:val="auto"/>
        </w:rPr>
        <w:t>” shall mean include or including, without limitation; and references to Sections, paragraphs or clauses are to Sections, paragraphs or clauses in this Agreement unless otherwise specified.</w:t>
      </w:r>
    </w:p>
    <w:p>
      <w:pPr>
        <w:spacing w:after="0" w:line="185" w:lineRule="exact"/>
        <w:rPr>
          <w:rFonts w:ascii="Arial" w:cs="Arial" w:eastAsia="Arial" w:hAnsi="Arial"/>
          <w:sz w:val="18"/>
          <w:szCs w:val="18"/>
          <w:color w:val="auto"/>
        </w:rPr>
      </w:pPr>
    </w:p>
    <w:p>
      <w:pPr>
        <w:jc w:val="both"/>
        <w:ind w:firstLine="642"/>
        <w:spacing w:after="0" w:line="261" w:lineRule="auto"/>
        <w:tabs>
          <w:tab w:leader="none" w:pos="1266" w:val="left"/>
        </w:tabs>
        <w:numPr>
          <w:ilvl w:val="0"/>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Attorneys’ Fees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that any Proceeding is instituted by Indemnitee under this Agreement to enforce or interpret any</w:t>
      </w:r>
      <w:r>
        <w:rPr>
          <w:rFonts w:ascii="Arial" w:cs="Arial" w:eastAsia="Arial" w:hAnsi="Arial"/>
          <w:sz w:val="18"/>
          <w:szCs w:val="18"/>
          <w:b w:val="1"/>
          <w:bCs w:val="1"/>
          <w:color w:val="auto"/>
        </w:rPr>
        <w:t xml:space="preserve"> </w:t>
      </w:r>
      <w:r>
        <w:rPr>
          <w:rFonts w:ascii="Arial" w:cs="Arial" w:eastAsia="Arial" w:hAnsi="Arial"/>
          <w:sz w:val="18"/>
          <w:szCs w:val="18"/>
          <w:color w:val="auto"/>
        </w:rPr>
        <w:t>of the terms hereof, the Company shall advance all Expenses actually and reasonably incurred by Indemnitee in connection with such Proceeding.</w:t>
      </w:r>
    </w:p>
    <w:p>
      <w:pPr>
        <w:spacing w:after="0" w:line="172" w:lineRule="exact"/>
        <w:rPr>
          <w:rFonts w:ascii="Arial" w:cs="Arial" w:eastAsia="Arial" w:hAnsi="Arial"/>
          <w:sz w:val="18"/>
          <w:szCs w:val="18"/>
          <w:color w:val="auto"/>
        </w:rPr>
      </w:pPr>
    </w:p>
    <w:p>
      <w:pPr>
        <w:ind w:left="1280" w:hanging="638"/>
        <w:spacing w:after="0"/>
        <w:tabs>
          <w:tab w:leader="none" w:pos="1280" w:val="left"/>
        </w:tabs>
        <w:numPr>
          <w:ilvl w:val="0"/>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217" w:lineRule="exact"/>
        <w:rPr>
          <w:rFonts w:ascii="Arial" w:cs="Arial" w:eastAsia="Arial" w:hAnsi="Arial"/>
          <w:sz w:val="18"/>
          <w:szCs w:val="18"/>
          <w:color w:val="auto"/>
        </w:rPr>
      </w:pPr>
    </w:p>
    <w:p>
      <w:pPr>
        <w:jc w:val="both"/>
        <w:ind w:firstLine="1278"/>
        <w:spacing w:after="0" w:line="261" w:lineRule="auto"/>
        <w:tabs>
          <w:tab w:leader="none" w:pos="1898" w:val="left"/>
        </w:tabs>
        <w:numPr>
          <w:ilvl w:val="1"/>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The validity, interpretation, construction and performance of this Agreement and all acts and</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pursuant hereto and the rights and obligations of the parties hereto shall be governed, construed and interpreted in accordance with the laws of the state of Delaware, without giving effect to principles of conflicts of law.</w:t>
      </w:r>
    </w:p>
    <w:p>
      <w:pPr>
        <w:spacing w:after="0" w:line="172" w:lineRule="exact"/>
        <w:rPr>
          <w:rFonts w:ascii="Arial" w:cs="Arial" w:eastAsia="Arial" w:hAnsi="Arial"/>
          <w:sz w:val="18"/>
          <w:szCs w:val="18"/>
          <w:color w:val="auto"/>
        </w:rPr>
      </w:pPr>
    </w:p>
    <w:p>
      <w:pPr>
        <w:jc w:val="both"/>
        <w:ind w:firstLine="1278"/>
        <w:spacing w:after="0" w:line="253" w:lineRule="auto"/>
        <w:tabs>
          <w:tab w:leader="none" w:pos="1898" w:val="left"/>
        </w:tabs>
        <w:numPr>
          <w:ilvl w:val="1"/>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 Binding Effect</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limiting any of the rights of Indemnitee described in Section 3(b),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sets forth the entire agreement and understanding of the parties relating to the subject matter herein and merges all prior discussions and supersedes any and all previous agreements between them covering the subject matter herein. The indemnification provided under this Agreement applies with respect to events occurring before or after the effective date of this Agreement and shall continue to apply even after Indemnitee has ceased to serve the Company in any and all indemnified capacities.</w:t>
      </w:r>
    </w:p>
    <w:p>
      <w:pPr>
        <w:spacing w:after="0" w:line="181" w:lineRule="exact"/>
        <w:rPr>
          <w:rFonts w:ascii="Arial" w:cs="Arial" w:eastAsia="Arial" w:hAnsi="Arial"/>
          <w:sz w:val="18"/>
          <w:szCs w:val="18"/>
          <w:color w:val="auto"/>
        </w:rPr>
      </w:pPr>
    </w:p>
    <w:p>
      <w:pPr>
        <w:jc w:val="both"/>
        <w:ind w:firstLine="1278"/>
        <w:spacing w:after="0" w:line="261" w:lineRule="auto"/>
        <w:tabs>
          <w:tab w:leader="none" w:pos="1902" w:val="left"/>
        </w:tabs>
        <w:numPr>
          <w:ilvl w:val="1"/>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Amendments and Waivers</w:t>
      </w:r>
      <w:r>
        <w:rPr>
          <w:rFonts w:ascii="Arial" w:cs="Arial" w:eastAsia="Arial" w:hAnsi="Arial"/>
          <w:sz w:val="18"/>
          <w:szCs w:val="18"/>
          <w:b w:val="1"/>
          <w:bCs w:val="1"/>
          <w:color w:val="auto"/>
        </w:rPr>
        <w:t xml:space="preserve">. </w:t>
      </w:r>
      <w:r>
        <w:rPr>
          <w:rFonts w:ascii="Arial" w:cs="Arial" w:eastAsia="Arial" w:hAnsi="Arial"/>
          <w:sz w:val="18"/>
          <w:szCs w:val="18"/>
          <w:color w:val="auto"/>
        </w:rPr>
        <w:t>No modification of or amendment to this Agreement, nor any waiver of any rights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effective unless in writing and signed by the parties to this Agreement. The failure by either party to enforce any rights under this Agreement shall not be construed as a waiver of any rights of such party.</w:t>
      </w:r>
    </w:p>
    <w:p>
      <w:pPr>
        <w:spacing w:after="0" w:line="172" w:lineRule="exact"/>
        <w:rPr>
          <w:rFonts w:ascii="Arial" w:cs="Arial" w:eastAsia="Arial" w:hAnsi="Arial"/>
          <w:sz w:val="18"/>
          <w:szCs w:val="18"/>
          <w:color w:val="auto"/>
        </w:rPr>
      </w:pPr>
    </w:p>
    <w:p>
      <w:pPr>
        <w:jc w:val="both"/>
        <w:ind w:firstLine="1278"/>
        <w:spacing w:after="0" w:line="256" w:lineRule="auto"/>
        <w:tabs>
          <w:tab w:leader="none" w:pos="1898" w:val="left"/>
        </w:tabs>
        <w:numPr>
          <w:ilvl w:val="1"/>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notice, demand or request required or permitted to be given under this Agreement shall be in writing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deemed sufficient when delivered personally or sent by fax or 48 hours after being sent by nationally-recognized courier or deposited in the U.S. mail, as certified or registered mail, with postage prepaid, and addressed to the party to be notified at such party’s address or fax number as set forth below or as subsequently modified by written notice.</w:t>
      </w:r>
    </w:p>
    <w:p>
      <w:pPr>
        <w:spacing w:after="0" w:line="176" w:lineRule="exact"/>
        <w:rPr>
          <w:rFonts w:ascii="Arial" w:cs="Arial" w:eastAsia="Arial" w:hAnsi="Arial"/>
          <w:sz w:val="18"/>
          <w:szCs w:val="18"/>
          <w:color w:val="auto"/>
        </w:rPr>
      </w:pPr>
    </w:p>
    <w:p>
      <w:pPr>
        <w:ind w:right="580" w:firstLine="1278"/>
        <w:spacing w:after="0" w:line="276" w:lineRule="auto"/>
        <w:tabs>
          <w:tab w:leader="none" w:pos="1898" w:val="left"/>
        </w:tabs>
        <w:numPr>
          <w:ilvl w:val="1"/>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one or more provisions of this Agreement are held to be unenforceable under applicable law,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agree to renegotiate such provision in good faith.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4761865</wp:posOffset>
            </wp:positionH>
            <wp:positionV relativeFrom="paragraph">
              <wp:posOffset>-180340</wp:posOffset>
            </wp:positionV>
            <wp:extent cx="3111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6">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395" w:right="339" w:bottom="1440" w:gutter="0" w:footer="0" w:header="0"/>
        </w:sectPr>
      </w:pPr>
    </w:p>
    <w:bookmarkStart w:id="99" w:name="page100"/>
    <w:bookmarkEnd w:id="99"/>
    <w:p>
      <w:pPr>
        <w:ind w:right="120"/>
        <w:spacing w:after="0" w:line="260" w:lineRule="auto"/>
        <w:rPr>
          <w:sz w:val="20"/>
          <w:szCs w:val="20"/>
          <w:color w:val="auto"/>
        </w:rPr>
      </w:pPr>
      <w:r>
        <w:rPr>
          <w:rFonts w:ascii="Arial" w:cs="Arial" w:eastAsia="Arial" w:hAnsi="Arial"/>
          <w:sz w:val="18"/>
          <w:szCs w:val="18"/>
          <w:color w:val="auto"/>
        </w:rPr>
        <w:t>event that the parties cannot reach a mutually agreeable and enforceable replacement for such provision, then (i) such provision shall be excluded from this Agreement, (ii) the balance of the Agreement shall be interpreted as if such provision were so excluded and (iii) the balance of the Agreement shall be enforceable in accordance with its terms.</w:t>
      </w:r>
    </w:p>
    <w:p>
      <w:pPr>
        <w:spacing w:after="0" w:line="173" w:lineRule="exact"/>
        <w:rPr>
          <w:sz w:val="20"/>
          <w:szCs w:val="20"/>
          <w:color w:val="auto"/>
        </w:rPr>
      </w:pPr>
    </w:p>
    <w:p>
      <w:pPr>
        <w:ind w:right="300" w:firstLine="1278"/>
        <w:spacing w:after="0" w:line="261" w:lineRule="auto"/>
        <w:tabs>
          <w:tab w:leader="none" w:pos="1902"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Construction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is the result of negotiations between and has been reviewed by each of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hereto and their respective counsel, if any; accordingly, this Agreement shall be deemed to be the product of all of the parties hereto, and no ambiguity shall be construed in favor of or against any one of the parties hereto.</w:t>
      </w:r>
    </w:p>
    <w:p>
      <w:pPr>
        <w:spacing w:after="0" w:line="172" w:lineRule="exact"/>
        <w:rPr>
          <w:rFonts w:ascii="Arial" w:cs="Arial" w:eastAsia="Arial" w:hAnsi="Arial"/>
          <w:sz w:val="18"/>
          <w:szCs w:val="18"/>
          <w:color w:val="auto"/>
        </w:rPr>
      </w:pPr>
    </w:p>
    <w:p>
      <w:pPr>
        <w:jc w:val="both"/>
        <w:ind w:firstLine="1278"/>
        <w:spacing w:after="0" w:line="256" w:lineRule="auto"/>
        <w:tabs>
          <w:tab w:leader="none" w:pos="1898"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two or more counterparts, each of which shall be deemed an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and all of which together shall constitute one instrument. Execution of a facsimile or scanned copy or by electronic means will have the same force and effect as execution of an original, and a facsimile, scanned or electronically generated signature will be deemed an original and valid signature.</w:t>
      </w:r>
    </w:p>
    <w:p>
      <w:pPr>
        <w:spacing w:after="0" w:line="176" w:lineRule="exact"/>
        <w:rPr>
          <w:rFonts w:ascii="Arial" w:cs="Arial" w:eastAsia="Arial" w:hAnsi="Arial"/>
          <w:sz w:val="18"/>
          <w:szCs w:val="18"/>
          <w:color w:val="auto"/>
        </w:rPr>
      </w:pPr>
    </w:p>
    <w:p>
      <w:pPr>
        <w:jc w:val="both"/>
        <w:ind w:firstLine="1278"/>
        <w:spacing w:after="0" w:line="252" w:lineRule="auto"/>
        <w:tabs>
          <w:tab w:leader="none" w:pos="1898"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Successors and Assigns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binding upon the Company and its successors (including any</w:t>
      </w:r>
      <w:r>
        <w:rPr>
          <w:rFonts w:ascii="Arial" w:cs="Arial" w:eastAsia="Arial" w:hAnsi="Arial"/>
          <w:sz w:val="18"/>
          <w:szCs w:val="18"/>
          <w:b w:val="1"/>
          <w:bCs w:val="1"/>
          <w:color w:val="auto"/>
        </w:rPr>
        <w:t xml:space="preserve"> </w:t>
      </w:r>
      <w:r>
        <w:rPr>
          <w:rFonts w:ascii="Arial" w:cs="Arial" w:eastAsia="Arial" w:hAnsi="Arial"/>
          <w:sz w:val="18"/>
          <w:szCs w:val="18"/>
          <w:color w:val="auto"/>
        </w:rPr>
        <w:t>direct or indirect successor by purchase, merger, consolidation or otherwise to all or substantially all of the business and/or assets of the Company) and assigns, and inure to the benefit of Indemnitee and Indemnitee’s heirs, executors, administrators, legal representatives and assigns. The Company shall require and cause any successor (whether direct or indirect by purchase, merger, consolidation or otherwise) to all or substantially all of the business and/or assets of the Company, by written agreement in form and substance satisfactory to Indemnitee, expressly to assume and agree to perform this Agreement to the fullest extent permitted by law.</w:t>
      </w:r>
    </w:p>
    <w:p>
      <w:pPr>
        <w:spacing w:after="0" w:line="180" w:lineRule="exact"/>
        <w:rPr>
          <w:rFonts w:ascii="Arial" w:cs="Arial" w:eastAsia="Arial" w:hAnsi="Arial"/>
          <w:sz w:val="18"/>
          <w:szCs w:val="18"/>
          <w:color w:val="auto"/>
        </w:rPr>
      </w:pPr>
    </w:p>
    <w:p>
      <w:pPr>
        <w:ind w:left="1920" w:hanging="642"/>
        <w:spacing w:after="0"/>
        <w:tabs>
          <w:tab w:leader="none" w:pos="1920"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No Employment Rights</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contained in this Agreement is intended to create in Indemnitee any right to</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continued employment.</w:t>
      </w:r>
    </w:p>
    <w:p>
      <w:pPr>
        <w:spacing w:after="0" w:line="199" w:lineRule="exact"/>
        <w:rPr>
          <w:rFonts w:ascii="Arial" w:cs="Arial" w:eastAsia="Arial" w:hAnsi="Arial"/>
          <w:sz w:val="18"/>
          <w:szCs w:val="18"/>
          <w:color w:val="auto"/>
        </w:rPr>
      </w:pPr>
    </w:p>
    <w:p>
      <w:pPr>
        <w:jc w:val="both"/>
        <w:ind w:firstLine="1278"/>
        <w:spacing w:after="0" w:line="256" w:lineRule="auto"/>
        <w:tabs>
          <w:tab w:leader="none" w:pos="1906"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Company Position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be precluded from asserting, in any Proceeding brought for purposes of</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establishing, enforcing or interpreting any right to indemnification under this Agreement, that the procedures and presumptions of this Agreement are not valid, binding and enforceable and shall stipulate in any such court that the Company is bound by all the provisions of this Agreement and is precluded from making any assertion to the contrary.</w:t>
      </w:r>
    </w:p>
    <w:p>
      <w:pPr>
        <w:spacing w:after="0" w:line="176" w:lineRule="exact"/>
        <w:rPr>
          <w:rFonts w:ascii="Arial" w:cs="Arial" w:eastAsia="Arial" w:hAnsi="Arial"/>
          <w:sz w:val="18"/>
          <w:szCs w:val="18"/>
          <w:color w:val="auto"/>
        </w:rPr>
      </w:pPr>
    </w:p>
    <w:p>
      <w:pPr>
        <w:jc w:val="both"/>
        <w:ind w:firstLine="1278"/>
        <w:spacing w:after="0" w:line="261" w:lineRule="auto"/>
        <w:tabs>
          <w:tab w:leader="none" w:pos="1902" w:val="left"/>
        </w:tabs>
        <w:numPr>
          <w:ilvl w:val="0"/>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Subrogation</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Section 3(d), in the event of payment under this Agreement, the Company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subrogated to the extent of such payment to all of the rights of recovery of Indemnitee, who shall execute all documents required and shall do all acts that may be necessary to secure such rights and to enable the Company to effectively bring suit to enforce such rights.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395" w:right="339" w:bottom="1440" w:gutter="0" w:footer="0" w:header="0"/>
        </w:sectPr>
      </w:pPr>
    </w:p>
    <w:bookmarkStart w:id="100" w:name="page101"/>
    <w:bookmarkEnd w:id="100"/>
    <w:p>
      <w:pPr>
        <w:ind w:left="640"/>
        <w:spacing w:after="0"/>
        <w:rPr>
          <w:sz w:val="20"/>
          <w:szCs w:val="20"/>
          <w:color w:val="auto"/>
        </w:rPr>
      </w:pPr>
      <w:r>
        <w:rPr>
          <w:rFonts w:ascii="Arial" w:cs="Arial" w:eastAsia="Arial" w:hAnsi="Arial"/>
          <w:sz w:val="17"/>
          <w:szCs w:val="17"/>
          <w:color w:val="auto"/>
        </w:rPr>
        <w:t>The parties have executed this Indemnification Agreement as of the date first set forth above.</w:t>
      </w:r>
    </w:p>
    <w:p>
      <w:pPr>
        <w:spacing w:after="0" w:line="227"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THE COMPANY:</w:t>
      </w:r>
    </w:p>
    <w:p>
      <w:pPr>
        <w:spacing w:after="0" w:line="21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BEYOND MEAT, INC.</w:t>
      </w:r>
    </w:p>
    <w:p>
      <w:pPr>
        <w:spacing w:after="0" w:line="200" w:lineRule="exact"/>
        <w:rPr>
          <w:sz w:val="20"/>
          <w:szCs w:val="20"/>
          <w:color w:val="auto"/>
        </w:rPr>
      </w:pPr>
    </w:p>
    <w:p>
      <w:pPr>
        <w:spacing w:after="0" w:line="25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2992755</wp:posOffset>
            </wp:positionH>
            <wp:positionV relativeFrom="paragraph">
              <wp:posOffset>-10795</wp:posOffset>
            </wp:positionV>
            <wp:extent cx="1244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7">
                      <a:extLst>
                        <a:ext uri="{28A0092B-C50C-407E-A947-70E740481C1C}"/>
                      </a:extLst>
                    </a:blip>
                    <a:srcRect/>
                    <a:stretch>
                      <a:fillRect/>
                    </a:stretch>
                  </pic:blipFill>
                  <pic:spPr bwMode="auto">
                    <a:xfrm>
                      <a:off x="0" y="0"/>
                      <a:ext cx="124460" cy="8255"/>
                    </a:xfrm>
                    <a:prstGeom prst="rect">
                      <a:avLst/>
                    </a:prstGeom>
                    <a:noFill/>
                  </pic:spPr>
                </pic:pic>
              </a:graphicData>
            </a:graphic>
          </wp:anchor>
        </w:drawing>
      </w:r>
    </w:p>
    <w:p>
      <w:pPr>
        <w:spacing w:after="0" w:line="22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-10795</wp:posOffset>
            </wp:positionV>
            <wp:extent cx="15557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8">
                      <a:extLst>
                        <a:ext uri="{28A0092B-C50C-407E-A947-70E740481C1C}"/>
                      </a:extLst>
                    </a:blip>
                    <a:srcRect/>
                    <a:stretch>
                      <a:fillRect/>
                    </a:stretch>
                  </pic:blipFill>
                  <pic:spPr bwMode="auto">
                    <a:xfrm>
                      <a:off x="0" y="0"/>
                      <a:ext cx="155575" cy="8255"/>
                    </a:xfrm>
                    <a:prstGeom prst="rect">
                      <a:avLst/>
                    </a:prstGeom>
                    <a:noFill/>
                  </pic:spPr>
                </pic:pic>
              </a:graphicData>
            </a:graphic>
          </wp:anchor>
        </w:drawing>
      </w:r>
    </w:p>
    <w:p>
      <w:pPr>
        <w:spacing w:after="0" w:line="22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3038475</wp:posOffset>
            </wp:positionH>
            <wp:positionV relativeFrom="paragraph">
              <wp:posOffset>-10795</wp:posOffset>
            </wp:positionV>
            <wp:extent cx="1244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9">
                      <a:extLst>
                        <a:ext uri="{28A0092B-C50C-407E-A947-70E740481C1C}"/>
                      </a:extLst>
                    </a:blip>
                    <a:srcRect/>
                    <a:stretch>
                      <a:fillRect/>
                    </a:stretch>
                  </pic:blipFill>
                  <pic:spPr bwMode="auto">
                    <a:xfrm>
                      <a:off x="0" y="0"/>
                      <a:ext cx="124460" cy="8255"/>
                    </a:xfrm>
                    <a:prstGeom prst="rect">
                      <a:avLst/>
                    </a:prstGeom>
                    <a:noFill/>
                  </pic:spPr>
                </pic:pic>
              </a:graphicData>
            </a:graphic>
          </wp:anchor>
        </w:drawing>
      </w:r>
    </w:p>
    <w:p>
      <w:pPr>
        <w:spacing w:after="0" w:line="19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Address: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888 N. Douglas Street, Suite 100</w:t>
      </w:r>
    </w:p>
    <w:p>
      <w:pPr>
        <w:spacing w:after="0" w:line="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El Segundo, CA 90245</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831215</wp:posOffset>
            </wp:positionV>
            <wp:extent cx="1244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0">
                      <a:extLst>
                        <a:ext uri="{28A0092B-C50C-407E-A947-70E740481C1C}"/>
                      </a:extLst>
                    </a:blip>
                    <a:srcRect/>
                    <a:stretch>
                      <a:fillRect/>
                    </a:stretch>
                  </pic:blipFill>
                  <pic:spPr bwMode="auto">
                    <a:xfrm>
                      <a:off x="0" y="0"/>
                      <a:ext cx="1244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257810</wp:posOffset>
            </wp:positionV>
            <wp:extent cx="3740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1">
                      <a:extLst>
                        <a:ext uri="{28A0092B-C50C-407E-A947-70E740481C1C}"/>
                      </a:extLst>
                    </a:blip>
                    <a:srcRect/>
                    <a:stretch>
                      <a:fillRect/>
                    </a:stretch>
                  </pic:blipFill>
                  <pic:spPr bwMode="auto">
                    <a:xfrm>
                      <a:off x="0" y="0"/>
                      <a:ext cx="37401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678815</wp:posOffset>
            </wp:positionV>
            <wp:extent cx="74739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2">
                      <a:extLst>
                        <a:ext uri="{28A0092B-C50C-407E-A947-70E740481C1C}"/>
                      </a:extLst>
                    </a:blip>
                    <a:srcRect/>
                    <a:stretch>
                      <a:fillRect/>
                    </a:stretch>
                  </pic:blipFill>
                  <pic:spPr bwMode="auto">
                    <a:xfrm>
                      <a:off x="0" y="0"/>
                      <a:ext cx="7473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ind w:right="2179"/>
        <w:spacing w:after="0"/>
        <w:rPr>
          <w:sz w:val="20"/>
          <w:szCs w:val="20"/>
          <w:color w:val="auto"/>
        </w:rPr>
      </w:pPr>
      <w:r>
        <w:rPr>
          <w:rFonts w:ascii="Arial" w:cs="Arial" w:eastAsia="Arial" w:hAnsi="Arial"/>
          <w:sz w:val="18"/>
          <w:szCs w:val="18"/>
          <w:b w:val="1"/>
          <w:bCs w:val="1"/>
          <w:color w:val="auto"/>
        </w:rPr>
        <w:t>BEYOND MEAT, INC. – INDEMNIFICATION AGREEMENT</w:t>
      </w:r>
    </w:p>
    <w:p>
      <w:pPr>
        <w:sectPr>
          <w:pgSz w:w="11900" w:h="16838" w:orient="portrait"/>
          <w:cols w:equalWidth="0" w:num="1">
            <w:col w:w="10139"/>
          </w:cols>
          <w:pgMar w:left="320" w:top="1395" w:right="1440"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RULES 13a-14(a) AND 15d-14(a), AS ADOPTED PURSUANT TO SECTION 302 OF THE SARBANES-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OXLEY ACT OF 2002</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I, Ethan Brown, certify that:</w:t>
      </w:r>
    </w:p>
    <w:p>
      <w:pPr>
        <w:spacing w:after="0" w:line="244" w:lineRule="exact"/>
        <w:rPr>
          <w:sz w:val="20"/>
          <w:szCs w:val="20"/>
          <w:color w:val="auto"/>
        </w:rPr>
      </w:pPr>
    </w:p>
    <w:p>
      <w:pPr>
        <w:ind w:left="640" w:hanging="475"/>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Beyond Meat, Inc.;</w:t>
      </w:r>
    </w:p>
    <w:p>
      <w:pPr>
        <w:spacing w:after="0" w:line="243" w:lineRule="exact"/>
        <w:rPr>
          <w:rFonts w:ascii="Arial" w:cs="Arial" w:eastAsia="Arial" w:hAnsi="Arial"/>
          <w:sz w:val="18"/>
          <w:szCs w:val="18"/>
          <w:color w:val="auto"/>
        </w:rPr>
      </w:pPr>
    </w:p>
    <w:p>
      <w:pPr>
        <w:ind w:left="640" w:right="20" w:hanging="475"/>
        <w:spacing w:after="0" w:line="260" w:lineRule="auto"/>
        <w:tabs>
          <w:tab w:leader="none" w:pos="6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640" w:right="60" w:hanging="475"/>
        <w:spacing w:after="0" w:line="304" w:lineRule="auto"/>
        <w:tabs>
          <w:tab w:leader="none" w:pos="628"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7" w:lineRule="exact"/>
        <w:rPr>
          <w:rFonts w:ascii="Arial" w:cs="Arial" w:eastAsia="Arial" w:hAnsi="Arial"/>
          <w:sz w:val="17"/>
          <w:szCs w:val="17"/>
          <w:color w:val="auto"/>
        </w:rPr>
      </w:pPr>
    </w:p>
    <w:p>
      <w:pPr>
        <w:ind w:left="640" w:right="20" w:hanging="475"/>
        <w:spacing w:after="0" w:line="260" w:lineRule="auto"/>
        <w:tabs>
          <w:tab w:leader="none" w:pos="6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ind w:left="1280" w:right="220" w:hanging="638"/>
        <w:spacing w:after="0" w:line="260" w:lineRule="auto"/>
        <w:tabs>
          <w:tab w:leader="none" w:pos="1268"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280" w:right="220" w:hanging="638"/>
        <w:spacing w:after="0" w:line="260" w:lineRule="auto"/>
        <w:tabs>
          <w:tab w:leader="none" w:pos="1268"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1280" w:right="160" w:hanging="638"/>
        <w:spacing w:after="0" w:line="260" w:lineRule="auto"/>
        <w:tabs>
          <w:tab w:leader="none" w:pos="1272" w:val="left"/>
        </w:tabs>
        <w:numPr>
          <w:ilvl w:val="1"/>
          <w:numId w:val="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1280" w:right="280" w:hanging="638"/>
        <w:spacing w:after="0" w:line="260" w:lineRule="auto"/>
        <w:tabs>
          <w:tab w:leader="none" w:pos="1268"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640" w:right="40" w:hanging="475"/>
        <w:spacing w:after="0" w:line="260" w:lineRule="auto"/>
        <w:tabs>
          <w:tab w:leader="none" w:pos="62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1280" w:right="140" w:hanging="638"/>
        <w:spacing w:after="0" w:line="260" w:lineRule="auto"/>
        <w:tabs>
          <w:tab w:leader="none" w:pos="1268"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280" w:right="80" w:hanging="638"/>
        <w:spacing w:after="0" w:line="274" w:lineRule="auto"/>
        <w:tabs>
          <w:tab w:leader="none" w:pos="1268"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880" w:type="dxa"/>
            <w:vAlign w:val="bottom"/>
            <w:gridSpan w:val="2"/>
          </w:tcPr>
          <w:p>
            <w:pPr>
              <w:spacing w:after="0"/>
              <w:rPr>
                <w:sz w:val="20"/>
                <w:szCs w:val="20"/>
                <w:color w:val="auto"/>
              </w:rPr>
            </w:pPr>
            <w:r>
              <w:rPr>
                <w:rFonts w:ascii="Arial" w:cs="Arial" w:eastAsia="Arial" w:hAnsi="Arial"/>
                <w:sz w:val="18"/>
                <w:szCs w:val="18"/>
                <w:color w:val="auto"/>
              </w:rPr>
              <w:t>Date:   May 8, 2025</w:t>
            </w:r>
          </w:p>
        </w:tc>
        <w:tc>
          <w:tcPr>
            <w:tcW w:w="4320" w:type="dxa"/>
            <w:vAlign w:val="bottom"/>
          </w:tcPr>
          <w:p>
            <w:pPr>
              <w:ind w:left="3820"/>
              <w:spacing w:after="0"/>
              <w:rPr>
                <w:sz w:val="20"/>
                <w:szCs w:val="20"/>
                <w:color w:val="auto"/>
              </w:rPr>
            </w:pPr>
            <w:r>
              <w:rPr>
                <w:rFonts w:ascii="Arial" w:cs="Arial" w:eastAsia="Arial" w:hAnsi="Arial"/>
                <w:sz w:val="18"/>
                <w:szCs w:val="18"/>
                <w:color w:val="auto"/>
              </w:rPr>
              <w:t>By:</w:t>
            </w:r>
          </w:p>
        </w:tc>
        <w:tc>
          <w:tcPr>
            <w:tcW w:w="4000" w:type="dxa"/>
            <w:vAlign w:val="bottom"/>
          </w:tcPr>
          <w:p>
            <w:pPr>
              <w:jc w:val="center"/>
              <w:spacing w:after="0"/>
              <w:rPr>
                <w:sz w:val="20"/>
                <w:szCs w:val="20"/>
                <w:color w:val="auto"/>
              </w:rPr>
            </w:pPr>
            <w:r>
              <w:rPr>
                <w:rFonts w:ascii="Arial" w:cs="Arial" w:eastAsia="Arial" w:hAnsi="Arial"/>
                <w:sz w:val="18"/>
                <w:szCs w:val="18"/>
                <w:color w:val="auto"/>
                <w:w w:val="97"/>
              </w:rPr>
              <w:t>/s/ Ethan Brown</w:t>
            </w:r>
          </w:p>
        </w:tc>
      </w:tr>
      <w:tr>
        <w:trPr>
          <w:trHeight w:val="215"/>
        </w:trPr>
        <w:tc>
          <w:tcPr>
            <w:tcW w:w="640" w:type="dxa"/>
            <w:vAlign w:val="bottom"/>
          </w:tcPr>
          <w:p>
            <w:pPr>
              <w:spacing w:after="0"/>
              <w:rPr>
                <w:sz w:val="18"/>
                <w:szCs w:val="18"/>
                <w:color w:val="auto"/>
              </w:rPr>
            </w:pPr>
          </w:p>
        </w:tc>
        <w:tc>
          <w:tcPr>
            <w:tcW w:w="2240" w:type="dxa"/>
            <w:vAlign w:val="bottom"/>
            <w:tcBorders>
              <w:top w:val="single" w:sz="8" w:color="auto"/>
            </w:tcBorders>
          </w:tcPr>
          <w:p>
            <w:pPr>
              <w:spacing w:after="0"/>
              <w:rPr>
                <w:sz w:val="18"/>
                <w:szCs w:val="18"/>
                <w:color w:val="auto"/>
              </w:rPr>
            </w:pPr>
          </w:p>
        </w:tc>
        <w:tc>
          <w:tcPr>
            <w:tcW w:w="4320" w:type="dxa"/>
            <w:vAlign w:val="bottom"/>
          </w:tcPr>
          <w:p>
            <w:pPr>
              <w:spacing w:after="0"/>
              <w:rPr>
                <w:sz w:val="18"/>
                <w:szCs w:val="18"/>
                <w:color w:val="auto"/>
              </w:rPr>
            </w:pPr>
          </w:p>
        </w:tc>
        <w:tc>
          <w:tcPr>
            <w:tcW w:w="4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Ethan Brown</w:t>
            </w:r>
          </w:p>
        </w:tc>
      </w:tr>
      <w:tr>
        <w:trPr>
          <w:trHeight w:val="225"/>
        </w:trPr>
        <w:tc>
          <w:tcPr>
            <w:tcW w:w="6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4000" w:type="dxa"/>
            <w:vAlign w:val="bottom"/>
          </w:tcPr>
          <w:p>
            <w:pPr>
              <w:jc w:val="center"/>
              <w:spacing w:after="0"/>
              <w:rPr>
                <w:sz w:val="20"/>
                <w:szCs w:val="20"/>
                <w:color w:val="auto"/>
              </w:rPr>
            </w:pPr>
            <w:r>
              <w:rPr>
                <w:rFonts w:ascii="Arial" w:cs="Arial" w:eastAsia="Arial" w:hAnsi="Arial"/>
                <w:sz w:val="18"/>
                <w:szCs w:val="18"/>
                <w:color w:val="auto"/>
                <w:w w:val="98"/>
              </w:rPr>
              <w:t>President and Chief Executive Officer</w:t>
            </w:r>
          </w:p>
        </w:tc>
      </w:tr>
      <w:tr>
        <w:trPr>
          <w:trHeight w:val="232"/>
        </w:trPr>
        <w:tc>
          <w:tcPr>
            <w:tcW w:w="6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4000" w:type="dxa"/>
            <w:vAlign w:val="bottom"/>
          </w:tcPr>
          <w:p>
            <w:pPr>
              <w:jc w:val="center"/>
              <w:spacing w:after="0"/>
              <w:rPr>
                <w:sz w:val="20"/>
                <w:szCs w:val="20"/>
                <w:color w:val="auto"/>
              </w:rPr>
            </w:pPr>
            <w:r>
              <w:rPr>
                <w:rFonts w:ascii="Arial" w:cs="Arial" w:eastAsia="Arial" w:hAnsi="Arial"/>
                <w:sz w:val="18"/>
                <w:szCs w:val="18"/>
                <w:color w:val="auto"/>
                <w:w w:val="98"/>
              </w:rPr>
              <w:t>(Principal Executive Officer)</w:t>
            </w:r>
          </w:p>
        </w:tc>
      </w:tr>
    </w:tbl>
    <w:p>
      <w:pPr>
        <w:sectPr>
          <w:pgSz w:w="11900" w:h="16838" w:orient="portrait"/>
          <w:cols w:equalWidth="0" w:num="1">
            <w:col w:w="11240"/>
          </w:cols>
          <w:pgMar w:left="320" w:top="876"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RULES 13a-14(a) AND 15d-14(a), AS ADOPTED PURSUANT TO SECTION 302 OF THE SARBANES-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OXLEY ACT OF 2002</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I, Lubi Kutua, certify that:</w:t>
      </w:r>
    </w:p>
    <w:p>
      <w:pPr>
        <w:spacing w:after="0" w:line="228" w:lineRule="exact"/>
        <w:rPr>
          <w:sz w:val="20"/>
          <w:szCs w:val="20"/>
          <w:color w:val="auto"/>
        </w:rPr>
      </w:pPr>
    </w:p>
    <w:p>
      <w:pPr>
        <w:ind w:left="640" w:hanging="475"/>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Beyond Meat, Inc.;</w:t>
      </w:r>
    </w:p>
    <w:p>
      <w:pPr>
        <w:spacing w:after="0" w:line="243" w:lineRule="exact"/>
        <w:rPr>
          <w:rFonts w:ascii="Arial" w:cs="Arial" w:eastAsia="Arial" w:hAnsi="Arial"/>
          <w:sz w:val="18"/>
          <w:szCs w:val="18"/>
          <w:color w:val="auto"/>
        </w:rPr>
      </w:pPr>
    </w:p>
    <w:p>
      <w:pPr>
        <w:ind w:left="640" w:right="20" w:hanging="475"/>
        <w:spacing w:after="0" w:line="260" w:lineRule="auto"/>
        <w:tabs>
          <w:tab w:leader="none" w:pos="628"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640" w:right="60" w:hanging="475"/>
        <w:spacing w:after="0" w:line="304" w:lineRule="auto"/>
        <w:tabs>
          <w:tab w:leader="none" w:pos="628"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7" w:lineRule="exact"/>
        <w:rPr>
          <w:rFonts w:ascii="Arial" w:cs="Arial" w:eastAsia="Arial" w:hAnsi="Arial"/>
          <w:sz w:val="17"/>
          <w:szCs w:val="17"/>
          <w:color w:val="auto"/>
        </w:rPr>
      </w:pPr>
    </w:p>
    <w:p>
      <w:pPr>
        <w:ind w:left="640" w:right="20" w:hanging="475"/>
        <w:spacing w:after="0" w:line="260" w:lineRule="auto"/>
        <w:tabs>
          <w:tab w:leader="none" w:pos="62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8"/>
          <w:szCs w:val="18"/>
          <w:color w:val="auto"/>
        </w:rPr>
      </w:pPr>
    </w:p>
    <w:p>
      <w:pPr>
        <w:ind w:left="1280" w:right="220" w:hanging="638"/>
        <w:spacing w:after="0" w:line="260" w:lineRule="auto"/>
        <w:tabs>
          <w:tab w:leader="none" w:pos="1268"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left="1280" w:right="220" w:hanging="638"/>
        <w:spacing w:after="0" w:line="260" w:lineRule="auto"/>
        <w:tabs>
          <w:tab w:leader="none" w:pos="1268"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1280" w:right="160" w:hanging="638"/>
        <w:spacing w:after="0" w:line="260" w:lineRule="auto"/>
        <w:tabs>
          <w:tab w:leader="none" w:pos="1272" w:val="left"/>
        </w:tabs>
        <w:numPr>
          <w:ilvl w:val="1"/>
          <w:numId w:val="5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ind w:left="1280" w:right="280" w:hanging="638"/>
        <w:spacing w:after="0" w:line="260" w:lineRule="auto"/>
        <w:tabs>
          <w:tab w:leader="none" w:pos="1268"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640" w:right="40" w:hanging="475"/>
        <w:spacing w:after="0" w:line="260" w:lineRule="auto"/>
        <w:tabs>
          <w:tab w:leader="none" w:pos="62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1280" w:right="140" w:hanging="638"/>
        <w:spacing w:after="0" w:line="260" w:lineRule="auto"/>
        <w:tabs>
          <w:tab w:leader="none" w:pos="1268" w:val="left"/>
        </w:tabs>
        <w:numPr>
          <w:ilvl w:val="1"/>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Arial" w:cs="Arial" w:eastAsia="Arial" w:hAnsi="Arial"/>
          <w:sz w:val="18"/>
          <w:szCs w:val="18"/>
          <w:color w:val="auto"/>
        </w:rPr>
      </w:pPr>
    </w:p>
    <w:p>
      <w:pPr>
        <w:ind w:left="1280" w:right="80" w:hanging="638"/>
        <w:spacing w:after="0" w:line="274" w:lineRule="auto"/>
        <w:tabs>
          <w:tab w:leader="none" w:pos="1268" w:val="left"/>
        </w:tabs>
        <w:numPr>
          <w:ilvl w:val="1"/>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860" w:type="dxa"/>
            <w:vAlign w:val="bottom"/>
            <w:gridSpan w:val="2"/>
          </w:tcPr>
          <w:p>
            <w:pPr>
              <w:spacing w:after="0"/>
              <w:rPr>
                <w:sz w:val="20"/>
                <w:szCs w:val="20"/>
                <w:color w:val="auto"/>
              </w:rPr>
            </w:pPr>
            <w:r>
              <w:rPr>
                <w:rFonts w:ascii="Arial" w:cs="Arial" w:eastAsia="Arial" w:hAnsi="Arial"/>
                <w:sz w:val="18"/>
                <w:szCs w:val="18"/>
                <w:color w:val="auto"/>
              </w:rPr>
              <w:t>Date:   May 8, 2025</w:t>
            </w:r>
          </w:p>
        </w:tc>
        <w:tc>
          <w:tcPr>
            <w:tcW w:w="4240" w:type="dxa"/>
            <w:vAlign w:val="bottom"/>
          </w:tcPr>
          <w:p>
            <w:pPr>
              <w:ind w:left="3740"/>
              <w:spacing w:after="0"/>
              <w:rPr>
                <w:sz w:val="20"/>
                <w:szCs w:val="20"/>
                <w:color w:val="auto"/>
              </w:rPr>
            </w:pPr>
            <w:r>
              <w:rPr>
                <w:rFonts w:ascii="Arial" w:cs="Arial" w:eastAsia="Arial" w:hAnsi="Arial"/>
                <w:sz w:val="18"/>
                <w:szCs w:val="18"/>
                <w:color w:val="auto"/>
              </w:rPr>
              <w:t>By:</w:t>
            </w:r>
          </w:p>
        </w:tc>
        <w:tc>
          <w:tcPr>
            <w:tcW w:w="4000" w:type="dxa"/>
            <w:vAlign w:val="bottom"/>
          </w:tcPr>
          <w:p>
            <w:pPr>
              <w:jc w:val="center"/>
              <w:spacing w:after="0"/>
              <w:rPr>
                <w:sz w:val="20"/>
                <w:szCs w:val="20"/>
                <w:color w:val="auto"/>
              </w:rPr>
            </w:pPr>
            <w:r>
              <w:rPr>
                <w:rFonts w:ascii="Arial" w:cs="Arial" w:eastAsia="Arial" w:hAnsi="Arial"/>
                <w:sz w:val="18"/>
                <w:szCs w:val="18"/>
                <w:color w:val="auto"/>
                <w:w w:val="98"/>
              </w:rPr>
              <w:t>/s/ Lubi Kutua</w:t>
            </w:r>
          </w:p>
        </w:tc>
      </w:tr>
      <w:tr>
        <w:trPr>
          <w:trHeight w:val="215"/>
        </w:trPr>
        <w:tc>
          <w:tcPr>
            <w:tcW w:w="640" w:type="dxa"/>
            <w:vAlign w:val="bottom"/>
          </w:tcPr>
          <w:p>
            <w:pPr>
              <w:spacing w:after="0"/>
              <w:rPr>
                <w:sz w:val="18"/>
                <w:szCs w:val="18"/>
                <w:color w:val="auto"/>
              </w:rPr>
            </w:pPr>
          </w:p>
        </w:tc>
        <w:tc>
          <w:tcPr>
            <w:tcW w:w="2220" w:type="dxa"/>
            <w:vAlign w:val="bottom"/>
            <w:tcBorders>
              <w:top w:val="single" w:sz="8" w:color="auto"/>
            </w:tcBorders>
          </w:tcPr>
          <w:p>
            <w:pPr>
              <w:spacing w:after="0"/>
              <w:rPr>
                <w:sz w:val="18"/>
                <w:szCs w:val="18"/>
                <w:color w:val="auto"/>
              </w:rPr>
            </w:pPr>
          </w:p>
        </w:tc>
        <w:tc>
          <w:tcPr>
            <w:tcW w:w="4240" w:type="dxa"/>
            <w:vAlign w:val="bottom"/>
          </w:tcPr>
          <w:p>
            <w:pPr>
              <w:spacing w:after="0"/>
              <w:rPr>
                <w:sz w:val="18"/>
                <w:szCs w:val="18"/>
                <w:color w:val="auto"/>
              </w:rPr>
            </w:pPr>
          </w:p>
        </w:tc>
        <w:tc>
          <w:tcPr>
            <w:tcW w:w="40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Lubi Kutua</w:t>
            </w:r>
          </w:p>
        </w:tc>
      </w:tr>
      <w:tr>
        <w:trPr>
          <w:trHeight w:val="225"/>
        </w:trPr>
        <w:tc>
          <w:tcPr>
            <w:tcW w:w="6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4000" w:type="dxa"/>
            <w:vAlign w:val="bottom"/>
          </w:tcPr>
          <w:p>
            <w:pPr>
              <w:jc w:val="center"/>
              <w:spacing w:after="0"/>
              <w:rPr>
                <w:sz w:val="20"/>
                <w:szCs w:val="20"/>
                <w:color w:val="auto"/>
              </w:rPr>
            </w:pPr>
            <w:r>
              <w:rPr>
                <w:rFonts w:ascii="Arial" w:cs="Arial" w:eastAsia="Arial" w:hAnsi="Arial"/>
                <w:sz w:val="18"/>
                <w:szCs w:val="18"/>
                <w:color w:val="auto"/>
                <w:w w:val="97"/>
              </w:rPr>
              <w:t>Chief Financial Officer and Treasurer</w:t>
            </w:r>
          </w:p>
        </w:tc>
      </w:tr>
      <w:tr>
        <w:trPr>
          <w:trHeight w:val="232"/>
        </w:trPr>
        <w:tc>
          <w:tcPr>
            <w:tcW w:w="6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4000" w:type="dxa"/>
            <w:vAlign w:val="bottom"/>
          </w:tcPr>
          <w:p>
            <w:pPr>
              <w:jc w:val="center"/>
              <w:spacing w:after="0"/>
              <w:rPr>
                <w:sz w:val="20"/>
                <w:szCs w:val="20"/>
                <w:color w:val="auto"/>
              </w:rPr>
            </w:pPr>
            <w:r>
              <w:rPr>
                <w:rFonts w:ascii="Arial" w:cs="Arial" w:eastAsia="Arial" w:hAnsi="Arial"/>
                <w:sz w:val="18"/>
                <w:szCs w:val="18"/>
                <w:color w:val="auto"/>
                <w:w w:val="98"/>
              </w:rPr>
              <w:t>(Principal Financial Officer)</w:t>
            </w:r>
          </w:p>
        </w:tc>
      </w:tr>
    </w:tbl>
    <w:p>
      <w:pPr>
        <w:sectPr>
          <w:pgSz w:w="11900" w:h="16838" w:orient="portrait"/>
          <w:cols w:equalWidth="0" w:num="1">
            <w:col w:w="11240"/>
          </w:cols>
          <w:pgMar w:left="320" w:top="876"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32.1</w:t>
      </w:r>
    </w:p>
    <w:p>
      <w:pPr>
        <w:spacing w:after="0" w:line="23" w:lineRule="exact"/>
        <w:rPr>
          <w:sz w:val="20"/>
          <w:szCs w:val="20"/>
          <w:color w:val="auto"/>
        </w:rPr>
      </w:pPr>
    </w:p>
    <w:p>
      <w:pPr>
        <w:jc w:val="center"/>
        <w:ind w:left="340" w:right="2640"/>
        <w:spacing w:after="0" w:line="256" w:lineRule="auto"/>
        <w:rPr>
          <w:sz w:val="20"/>
          <w:szCs w:val="20"/>
          <w:color w:val="auto"/>
        </w:rPr>
      </w:pPr>
      <w:r>
        <w:rPr>
          <w:rFonts w:ascii="Arial" w:cs="Arial" w:eastAsia="Arial" w:hAnsi="Arial"/>
          <w:sz w:val="18"/>
          <w:szCs w:val="18"/>
          <w:b w:val="1"/>
          <w:bCs w:val="1"/>
          <w:color w:val="auto"/>
        </w:rPr>
        <w:t>CERTIFICATION OF CHIEF EXECUTIVE OFFICER PURSUANT TO 18 U.S.C. SECTION 1350, AS ADOPTED PURSUANT TO SECTION 906 OF THE SARBANES-OXLEY ACT OF 2002</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 Ethan Brown, President and Chief Executive Officer of Beyond Meat, Inc. (the “Company”), do hereby certify, pursuant to 18 U.S.C.</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Section 1350, as adopted pursuant to Section 906 of the Sarbanes-Oxley Act of 2002, that, to my knowledge:</w:t>
      </w:r>
    </w:p>
    <w:p>
      <w:pPr>
        <w:spacing w:after="0" w:line="98" w:lineRule="exact"/>
        <w:rPr>
          <w:sz w:val="20"/>
          <w:szCs w:val="20"/>
          <w:color w:val="auto"/>
        </w:rPr>
      </w:pPr>
    </w:p>
    <w:p>
      <w:pPr>
        <w:ind w:left="960" w:right="320" w:hanging="318"/>
        <w:spacing w:after="0" w:line="352" w:lineRule="auto"/>
        <w:tabs>
          <w:tab w:leader="none" w:pos="954"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the accompanying Quarterly Report on Form 10-Q of the Company for the quarter ended March 29, 2025 (the “Report”), as filed with the Securities and Exchange Commission, fully complies with the requirements of Section 13(a) or Section 15(d), as applicable, of the Securities Exchange Act of 1934, as amended (the "Exchange Act"); and</w:t>
      </w:r>
    </w:p>
    <w:p>
      <w:pPr>
        <w:spacing w:after="0" w:line="2" w:lineRule="exact"/>
        <w:rPr>
          <w:rFonts w:ascii="Times New Roman" w:cs="Times New Roman" w:eastAsia="Times New Roman" w:hAnsi="Times New Roman"/>
          <w:sz w:val="18"/>
          <w:szCs w:val="18"/>
          <w:color w:val="auto"/>
        </w:rPr>
      </w:pPr>
    </w:p>
    <w:p>
      <w:pPr>
        <w:ind w:left="960" w:right="260" w:hanging="318"/>
        <w:spacing w:after="0" w:line="381" w:lineRule="auto"/>
        <w:tabs>
          <w:tab w:leader="none" w:pos="954" w:val="left"/>
        </w:tabs>
        <w:numPr>
          <w:ilvl w:val="0"/>
          <w:numId w:val="60"/>
        </w:numPr>
        <w:rPr>
          <w:rFonts w:ascii="Times New Roman" w:cs="Times New Roman" w:eastAsia="Times New Roman" w:hAnsi="Times New Roman"/>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2" w:lineRule="exact"/>
        <w:rPr>
          <w:sz w:val="20"/>
          <w:szCs w:val="20"/>
          <w:color w:val="auto"/>
        </w:rPr>
      </w:pPr>
    </w:p>
    <w:tbl>
      <w:tblPr>
        <w:tblLayout w:type="fixed"/>
        <w:tblInd w:w="780" w:type="dxa"/>
        <w:tblCellMar>
          <w:top w:w="0" w:type="dxa"/>
          <w:left w:w="0" w:type="dxa"/>
          <w:bottom w:w="0" w:type="dxa"/>
          <w:right w:w="0" w:type="dxa"/>
        </w:tblCellMar>
      </w:tblPr>
      <w:tr>
        <w:trPr>
          <w:trHeight w:val="229"/>
        </w:trPr>
        <w:tc>
          <w:tcPr>
            <w:tcW w:w="2820" w:type="dxa"/>
            <w:vAlign w:val="bottom"/>
            <w:gridSpan w:val="2"/>
          </w:tcPr>
          <w:p>
            <w:pPr>
              <w:spacing w:after="0"/>
              <w:rPr>
                <w:sz w:val="20"/>
                <w:szCs w:val="20"/>
                <w:color w:val="auto"/>
              </w:rPr>
            </w:pPr>
            <w:r>
              <w:rPr>
                <w:rFonts w:ascii="Arial" w:cs="Arial" w:eastAsia="Arial" w:hAnsi="Arial"/>
                <w:sz w:val="18"/>
                <w:szCs w:val="18"/>
                <w:color w:val="auto"/>
              </w:rPr>
              <w:t>Date:   May 8, 2025</w:t>
            </w:r>
          </w:p>
        </w:tc>
        <w:tc>
          <w:tcPr>
            <w:tcW w:w="3620" w:type="dxa"/>
            <w:vAlign w:val="bottom"/>
          </w:tcPr>
          <w:p>
            <w:pPr>
              <w:ind w:left="3120"/>
              <w:spacing w:after="0"/>
              <w:rPr>
                <w:sz w:val="20"/>
                <w:szCs w:val="20"/>
                <w:color w:val="auto"/>
              </w:rPr>
            </w:pPr>
            <w:r>
              <w:rPr>
                <w:rFonts w:ascii="Arial" w:cs="Arial" w:eastAsia="Arial" w:hAnsi="Arial"/>
                <w:sz w:val="18"/>
                <w:szCs w:val="18"/>
                <w:color w:val="auto"/>
              </w:rPr>
              <w:t>By:</w:t>
            </w:r>
          </w:p>
        </w:tc>
        <w:tc>
          <w:tcPr>
            <w:tcW w:w="3980" w:type="dxa"/>
            <w:vAlign w:val="bottom"/>
          </w:tcPr>
          <w:p>
            <w:pPr>
              <w:jc w:val="center"/>
              <w:spacing w:after="0"/>
              <w:rPr>
                <w:sz w:val="20"/>
                <w:szCs w:val="20"/>
                <w:color w:val="auto"/>
              </w:rPr>
            </w:pPr>
            <w:r>
              <w:rPr>
                <w:rFonts w:ascii="Arial" w:cs="Arial" w:eastAsia="Arial" w:hAnsi="Arial"/>
                <w:sz w:val="18"/>
                <w:szCs w:val="18"/>
                <w:color w:val="auto"/>
                <w:w w:val="99"/>
              </w:rPr>
              <w:t>/s/ Ethan Brown</w:t>
            </w:r>
          </w:p>
        </w:tc>
      </w:tr>
      <w:tr>
        <w:trPr>
          <w:trHeight w:val="215"/>
        </w:trPr>
        <w:tc>
          <w:tcPr>
            <w:tcW w:w="640" w:type="dxa"/>
            <w:vAlign w:val="bottom"/>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3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Ethan Brown</w:t>
            </w:r>
          </w:p>
        </w:tc>
      </w:tr>
      <w:tr>
        <w:trPr>
          <w:trHeight w:val="225"/>
        </w:trPr>
        <w:tc>
          <w:tcPr>
            <w:tcW w:w="6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8"/>
              </w:rPr>
              <w:t>President and Chief Executive Officer</w:t>
            </w:r>
          </w:p>
        </w:tc>
      </w:tr>
      <w:tr>
        <w:trPr>
          <w:trHeight w:val="232"/>
        </w:trPr>
        <w:tc>
          <w:tcPr>
            <w:tcW w:w="6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8"/>
              </w:rPr>
              <w:t>(Principal Executive Officer)</w:t>
            </w:r>
          </w:p>
        </w:tc>
      </w:tr>
    </w:tbl>
    <w:p>
      <w:pPr>
        <w:spacing w:after="0" w:line="200" w:lineRule="exact"/>
        <w:rPr>
          <w:sz w:val="20"/>
          <w:szCs w:val="20"/>
          <w:color w:val="auto"/>
        </w:rPr>
      </w:pPr>
    </w:p>
    <w:p>
      <w:pPr>
        <w:spacing w:after="0" w:line="337" w:lineRule="exact"/>
        <w:rPr>
          <w:sz w:val="20"/>
          <w:szCs w:val="20"/>
          <w:color w:val="auto"/>
        </w:rPr>
      </w:pPr>
    </w:p>
    <w:p>
      <w:pPr>
        <w:ind w:right="180" w:firstLine="636"/>
        <w:spacing w:after="0" w:line="367" w:lineRule="auto"/>
        <w:rPr>
          <w:sz w:val="20"/>
          <w:szCs w:val="20"/>
          <w:color w:val="auto"/>
        </w:rPr>
      </w:pPr>
      <w:r>
        <w:rPr>
          <w:rFonts w:ascii="Arial" w:cs="Arial" w:eastAsia="Arial" w:hAnsi="Arial"/>
          <w:sz w:val="18"/>
          <w:szCs w:val="18"/>
          <w:color w:val="auto"/>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1240"/>
          </w:cols>
          <w:pgMar w:left="320" w:top="876" w:right="3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32.2</w:t>
      </w:r>
    </w:p>
    <w:p>
      <w:pPr>
        <w:spacing w:after="0" w:line="244" w:lineRule="exact"/>
        <w:rPr>
          <w:sz w:val="20"/>
          <w:szCs w:val="20"/>
          <w:color w:val="auto"/>
        </w:rPr>
      </w:pPr>
    </w:p>
    <w:p>
      <w:pPr>
        <w:jc w:val="center"/>
        <w:ind w:left="340" w:right="2640"/>
        <w:spacing w:after="0" w:line="267" w:lineRule="auto"/>
        <w:rPr>
          <w:sz w:val="20"/>
          <w:szCs w:val="20"/>
          <w:color w:val="auto"/>
        </w:rPr>
      </w:pPr>
      <w:r>
        <w:rPr>
          <w:rFonts w:ascii="Arial" w:cs="Arial" w:eastAsia="Arial" w:hAnsi="Arial"/>
          <w:sz w:val="18"/>
          <w:szCs w:val="18"/>
          <w:b w:val="1"/>
          <w:bCs w:val="1"/>
          <w:color w:val="auto"/>
        </w:rPr>
        <w:t>CERTIFICATION OF CHIEF FINANCIAL OFFICER PURSUANT TO 18 U.S.C. SECTION 1350, AS ADOPTED PURSUANT TO SECTION 906 OF THE SARBANES-OXLEY ACT OF 2002</w:t>
      </w:r>
    </w:p>
    <w:p>
      <w:pPr>
        <w:spacing w:after="0" w:line="200" w:lineRule="exact"/>
        <w:rPr>
          <w:sz w:val="20"/>
          <w:szCs w:val="20"/>
          <w:color w:val="auto"/>
        </w:rPr>
      </w:pPr>
    </w:p>
    <w:p>
      <w:pPr>
        <w:spacing w:after="0" w:line="3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 Lubi Kutua, Chief Financial Officer and Treasurer of Beyond Meat, Inc. (the “Company”), do hereby certify, pursuant to 18 U.S.C.</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Section 1350, as adopted pursuant to Section 906 of the Sarbanes-Oxley Act of 2002, that</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to my knowledge:</w:t>
      </w:r>
    </w:p>
    <w:p>
      <w:pPr>
        <w:spacing w:after="0" w:line="98" w:lineRule="exact"/>
        <w:rPr>
          <w:sz w:val="20"/>
          <w:szCs w:val="20"/>
          <w:color w:val="auto"/>
        </w:rPr>
      </w:pPr>
    </w:p>
    <w:p>
      <w:pPr>
        <w:ind w:left="960" w:right="320" w:hanging="318"/>
        <w:spacing w:after="0" w:line="358" w:lineRule="auto"/>
        <w:tabs>
          <w:tab w:leader="none" w:pos="95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 ended March 29, 2025 (the “Report”), as filed with the Securities and Exchange Commission, fully complies with the requirements of Section 13(a) or Section 15(d), as applicable, of the Securities Exchange Act of 1934, as amended (the "Exchange Act"); and</w:t>
      </w:r>
    </w:p>
    <w:p>
      <w:pPr>
        <w:spacing w:after="0" w:line="1" w:lineRule="exact"/>
        <w:rPr>
          <w:rFonts w:ascii="Arial" w:cs="Arial" w:eastAsia="Arial" w:hAnsi="Arial"/>
          <w:sz w:val="18"/>
          <w:szCs w:val="18"/>
          <w:color w:val="auto"/>
        </w:rPr>
      </w:pPr>
    </w:p>
    <w:p>
      <w:pPr>
        <w:ind w:left="960" w:right="260" w:hanging="318"/>
        <w:spacing w:after="0" w:line="382" w:lineRule="auto"/>
        <w:tabs>
          <w:tab w:leader="none" w:pos="95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820" w:type="dxa"/>
            <w:vAlign w:val="bottom"/>
            <w:gridSpan w:val="2"/>
          </w:tcPr>
          <w:p>
            <w:pPr>
              <w:spacing w:after="0"/>
              <w:rPr>
                <w:sz w:val="20"/>
                <w:szCs w:val="20"/>
                <w:color w:val="auto"/>
              </w:rPr>
            </w:pPr>
            <w:r>
              <w:rPr>
                <w:rFonts w:ascii="Arial" w:cs="Arial" w:eastAsia="Arial" w:hAnsi="Arial"/>
                <w:sz w:val="18"/>
                <w:szCs w:val="18"/>
                <w:color w:val="auto"/>
              </w:rPr>
              <w:t>Date:   May 8, 2025</w:t>
            </w:r>
          </w:p>
        </w:tc>
        <w:tc>
          <w:tcPr>
            <w:tcW w:w="4420" w:type="dxa"/>
            <w:vAlign w:val="bottom"/>
          </w:tcPr>
          <w:p>
            <w:pPr>
              <w:ind w:left="3940"/>
              <w:spacing w:after="0"/>
              <w:rPr>
                <w:sz w:val="20"/>
                <w:szCs w:val="20"/>
                <w:color w:val="auto"/>
              </w:rPr>
            </w:pPr>
            <w:r>
              <w:rPr>
                <w:rFonts w:ascii="Arial" w:cs="Arial" w:eastAsia="Arial" w:hAnsi="Arial"/>
                <w:sz w:val="18"/>
                <w:szCs w:val="18"/>
                <w:color w:val="auto"/>
              </w:rPr>
              <w:t>By:</w:t>
            </w:r>
          </w:p>
        </w:tc>
        <w:tc>
          <w:tcPr>
            <w:tcW w:w="3980" w:type="dxa"/>
            <w:vAlign w:val="bottom"/>
          </w:tcPr>
          <w:p>
            <w:pPr>
              <w:jc w:val="center"/>
              <w:spacing w:after="0"/>
              <w:rPr>
                <w:sz w:val="20"/>
                <w:szCs w:val="20"/>
                <w:color w:val="auto"/>
              </w:rPr>
            </w:pPr>
            <w:r>
              <w:rPr>
                <w:rFonts w:ascii="Arial" w:cs="Arial" w:eastAsia="Arial" w:hAnsi="Arial"/>
                <w:sz w:val="18"/>
                <w:szCs w:val="18"/>
                <w:color w:val="auto"/>
                <w:w w:val="98"/>
              </w:rPr>
              <w:t>/s/ Lubi Kutua</w:t>
            </w:r>
          </w:p>
        </w:tc>
      </w:tr>
      <w:tr>
        <w:trPr>
          <w:trHeight w:val="215"/>
        </w:trPr>
        <w:tc>
          <w:tcPr>
            <w:tcW w:w="640" w:type="dxa"/>
            <w:vAlign w:val="bottom"/>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4420" w:type="dxa"/>
            <w:vAlign w:val="bottom"/>
          </w:tcPr>
          <w:p>
            <w:pPr>
              <w:spacing w:after="0"/>
              <w:rPr>
                <w:sz w:val="18"/>
                <w:szCs w:val="18"/>
                <w:color w:val="auto"/>
              </w:rPr>
            </w:pPr>
          </w:p>
        </w:tc>
        <w:tc>
          <w:tcPr>
            <w:tcW w:w="3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Lubi Kutua</w:t>
            </w:r>
          </w:p>
        </w:tc>
      </w:tr>
      <w:tr>
        <w:trPr>
          <w:trHeight w:val="225"/>
        </w:trPr>
        <w:tc>
          <w:tcPr>
            <w:tcW w:w="6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7"/>
              </w:rPr>
              <w:t>Chief Financial Officer and Treasurer</w:t>
            </w:r>
          </w:p>
        </w:tc>
      </w:tr>
      <w:tr>
        <w:trPr>
          <w:trHeight w:val="232"/>
        </w:trPr>
        <w:tc>
          <w:tcPr>
            <w:tcW w:w="6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8"/>
              </w:rPr>
              <w:t>(Principal Financial Officer)</w:t>
            </w:r>
          </w:p>
        </w:tc>
      </w:tr>
    </w:tbl>
    <w:p>
      <w:pPr>
        <w:spacing w:after="0" w:line="200" w:lineRule="exact"/>
        <w:rPr>
          <w:sz w:val="20"/>
          <w:szCs w:val="20"/>
          <w:color w:val="auto"/>
        </w:rPr>
      </w:pPr>
    </w:p>
    <w:p>
      <w:pPr>
        <w:spacing w:after="0" w:line="337" w:lineRule="exact"/>
        <w:rPr>
          <w:sz w:val="20"/>
          <w:szCs w:val="20"/>
          <w:color w:val="auto"/>
        </w:rPr>
      </w:pPr>
    </w:p>
    <w:p>
      <w:pPr>
        <w:ind w:right="180" w:firstLine="636"/>
        <w:spacing w:after="0" w:line="367" w:lineRule="auto"/>
        <w:rPr>
          <w:sz w:val="20"/>
          <w:szCs w:val="20"/>
          <w:color w:val="auto"/>
        </w:rPr>
      </w:pPr>
      <w:r>
        <w:rPr>
          <w:rFonts w:ascii="Arial" w:cs="Arial" w:eastAsia="Arial" w:hAnsi="Arial"/>
          <w:sz w:val="18"/>
          <w:szCs w:val="18"/>
          <w:color w:val="auto"/>
        </w:rPr>
        <w:t>This certification shall not be deemed “filed” for purposes of Section 18 of the Exchange Act or otherwise subject to the liability of Section 18 of the Exchange Act. Such certification shall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240"/>
      </w:cols>
      <w:pgMar w:left="320" w:top="8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1."/>
      <w:numFmt w:val="decimal"/>
      <w:start w:val="1"/>
    </w:lvl>
    <w:lvl w:ilvl="1">
      <w:lvlJc w:val="left"/>
      <w:lvlText w:val="(%2)"/>
      <w:numFmt w:val="lowerLetter"/>
      <w:start w:val="5"/>
    </w:lvl>
  </w:abstractNum>
  <w:abstractNum w:abstractNumId="9">
    <w:nsid w:val="440BADFC"/>
    <w:multiLevelType w:val="hybridMultilevel"/>
    <w:lvl w:ilvl="0">
      <w:lvlJc w:val="left"/>
      <w:lvlText w:val="(%1)"/>
      <w:numFmt w:val="decimal"/>
      <w:start w:val="1"/>
    </w:lvl>
  </w:abstractNum>
  <w:abstractNum w:abstractNumId="10">
    <w:nsid w:val="5072367"/>
    <w:multiLevelType w:val="hybridMultilevel"/>
    <w:lvl w:ilvl="0">
      <w:lvlJc w:val="left"/>
      <w:lvlText w:val="(%1)"/>
      <w:numFmt w:val="decimal"/>
      <w:start w:val="1"/>
    </w:lvl>
  </w:abstractNum>
  <w:abstractNum w:abstractNumId="11">
    <w:nsid w:val="3804823E"/>
    <w:multiLevelType w:val="hybridMultilevel"/>
    <w:lvl w:ilvl="0">
      <w:lvlJc w:val="left"/>
      <w:lvlText w:val="(%1)"/>
      <w:numFmt w:val="decimal"/>
      <w:start w:val="1"/>
    </w:lvl>
  </w:abstractNum>
  <w:abstractNum w:abstractNumId="12">
    <w:nsid w:val="77465F01"/>
    <w:multiLevelType w:val="hybridMultilevel"/>
    <w:lvl w:ilvl="0">
      <w:lvlJc w:val="left"/>
      <w:lvlText w:val="(%1)"/>
      <w:numFmt w:val="decimal"/>
      <w:start w:val="2"/>
    </w:lvl>
  </w:abstractNum>
  <w:abstractNum w:abstractNumId="13">
    <w:nsid w:val="7724C67E"/>
    <w:multiLevelType w:val="hybridMultilevel"/>
    <w:lvl w:ilvl="0">
      <w:lvlJc w:val="left"/>
      <w:lvlText w:val="(%1)"/>
      <w:numFmt w:val="decimal"/>
      <w:start w:val="1"/>
    </w:lvl>
  </w:abstractNum>
  <w:abstractNum w:abstractNumId="14">
    <w:nsid w:val="5C482A97"/>
    <w:multiLevelType w:val="hybridMultilevel"/>
    <w:lvl w:ilvl="0">
      <w:lvlJc w:val="left"/>
      <w:lvlText w:val="(%1)"/>
      <w:numFmt w:val="decimal"/>
      <w:start w:val="1"/>
    </w:lvl>
  </w:abstractNum>
  <w:abstractNum w:abstractNumId="15">
    <w:nsid w:val="2463B9EA"/>
    <w:multiLevelType w:val="hybridMultilevel"/>
    <w:lvl w:ilvl="0">
      <w:lvlJc w:val="left"/>
      <w:lvlText w:val="(%1)"/>
      <w:numFmt w:val="decimal"/>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1)"/>
      <w:numFmt w:val="lowerRoman"/>
      <w:start w:val="4"/>
    </w:lvl>
  </w:abstractNum>
  <w:abstractNum w:abstractNumId="19">
    <w:nsid w:val="580BD78F"/>
    <w:multiLevelType w:val="hybridMultilevel"/>
    <w:lvl w:ilvl="0">
      <w:lvlJc w:val="left"/>
      <w:lvlText w:val="(%1)"/>
      <w:numFmt w:val="decimal"/>
      <w:start w:val="1"/>
    </w:lvl>
  </w:abstractNum>
  <w:abstractNum w:abstractNumId="20">
    <w:nsid w:val="153EA438"/>
    <w:multiLevelType w:val="hybridMultilevel"/>
    <w:lvl w:ilvl="0">
      <w:lvlJc w:val="left"/>
      <w:lvlText w:val="(%1)"/>
      <w:numFmt w:val="decimal"/>
      <w:start w:val="1"/>
    </w:lvl>
  </w:abstractNum>
  <w:abstractNum w:abstractNumId="21">
    <w:nsid w:val="3855585C"/>
    <w:multiLevelType w:val="hybridMultilevel"/>
    <w:lvl w:ilvl="0">
      <w:lvlJc w:val="left"/>
      <w:lvlText w:val="(%1)"/>
      <w:numFmt w:val="decimal"/>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1)"/>
      <w:numFmt w:val="decimal"/>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1)"/>
      <w:numFmt w:val="decimal"/>
      <w:start w:val="1"/>
    </w:lvl>
  </w:abstractNum>
  <w:abstractNum w:abstractNumId="30">
    <w:nsid w:val="4B588F54"/>
    <w:multiLevelType w:val="hybridMultilevel"/>
    <w:lvl w:ilvl="0">
      <w:lvlJc w:val="left"/>
      <w:lvlText w:val="(%1)"/>
      <w:numFmt w:val="lowerLetter"/>
      <w:start w:val="3"/>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1)"/>
      <w:numFmt w:val="lowerRoman"/>
      <w:start w:val="3"/>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1."/>
      <w:numFmt w:val="decimal"/>
      <w:start w:val="1"/>
    </w:lvl>
    <w:lvl w:ilvl="1">
      <w:lvlJc w:val="left"/>
      <w:lvlText w:val="(%2)"/>
      <w:numFmt w:val="lowerLetter"/>
      <w:start w:val="1"/>
    </w:lvl>
  </w:abstractNum>
  <w:abstractNum w:abstractNumId="40">
    <w:nsid w:val="1BA026FA"/>
    <w:multiLevelType w:val="hybridMultilevel"/>
    <w:lvl w:ilvl="0">
      <w:lvlJc w:val="left"/>
      <w:lvlText w:val="%1"/>
      <w:numFmt w:val="decimal"/>
      <w:start w:val="1"/>
    </w:lvl>
    <w:lvl w:ilvl="1">
      <w:lvlJc w:val="left"/>
      <w:lvlText w:val="(%2)"/>
      <w:numFmt w:val="lowerLetter"/>
      <w:start w:val="3"/>
    </w:lvl>
  </w:abstractNum>
  <w:abstractNum w:abstractNumId="41">
    <w:nsid w:val="79A1DEAA"/>
    <w:multiLevelType w:val="hybridMultilevel"/>
    <w:lvl w:ilvl="0">
      <w:lvlJc w:val="left"/>
      <w:lvlText w:val="%1."/>
      <w:numFmt w:val="decimal"/>
      <w:start w:val="2"/>
    </w:lvl>
    <w:lvl w:ilvl="1">
      <w:lvlJc w:val="left"/>
      <w:lvlText w:val="(%2)"/>
      <w:numFmt w:val="lowerLetter"/>
      <w:start w:val="1"/>
    </w:lvl>
  </w:abstractNum>
  <w:abstractNum w:abstractNumId="42">
    <w:nsid w:val="75C6C33A"/>
    <w:multiLevelType w:val="hybridMultilevel"/>
    <w:lvl w:ilvl="0">
      <w:lvlJc w:val="left"/>
      <w:lvlText w:val="(%1)"/>
      <w:numFmt w:val="lowerLetter"/>
      <w:start w:val="3"/>
    </w:lvl>
    <w:lvl w:ilvl="1">
      <w:lvlJc w:val="left"/>
      <w:lvlText w:val="(%2)"/>
      <w:numFmt w:val="lowerRoman"/>
      <w:start w:val="1"/>
    </w:lvl>
  </w:abstractNum>
  <w:abstractNum w:abstractNumId="43">
    <w:nsid w:val="12E685FB"/>
    <w:multiLevelType w:val="hybridMultilevel"/>
    <w:lvl w:ilvl="0">
      <w:lvlJc w:val="left"/>
      <w:lvlText w:val="%1"/>
      <w:numFmt w:val="decimal"/>
      <w:start w:val="1"/>
    </w:lvl>
    <w:lvl w:ilvl="1">
      <w:lvlJc w:val="left"/>
      <w:lvlText w:val="(%2)"/>
      <w:numFmt w:val="lowerLetter"/>
      <w:start w:val="4"/>
    </w:lvl>
  </w:abstractNum>
  <w:abstractNum w:abstractNumId="44">
    <w:nsid w:val="70C6A529"/>
    <w:multiLevelType w:val="hybridMultilevel"/>
    <w:lvl w:ilvl="0">
      <w:lvlJc w:val="left"/>
      <w:lvlText w:val="%1."/>
      <w:numFmt w:val="decimal"/>
      <w:start w:val="3"/>
    </w:lvl>
    <w:lvl w:ilvl="1">
      <w:lvlJc w:val="left"/>
      <w:lvlText w:val="(%2)"/>
      <w:numFmt w:val="lowerLetter"/>
      <w:start w:val="1"/>
    </w:lvl>
  </w:abstractNum>
  <w:abstractNum w:abstractNumId="45">
    <w:nsid w:val="520EEDD1"/>
    <w:multiLevelType w:val="hybridMultilevel"/>
    <w:lvl w:ilvl="0">
      <w:lvlJc w:val="left"/>
      <w:lvlText w:val="%1"/>
      <w:numFmt w:val="decimal"/>
      <w:start w:val="1"/>
    </w:lvl>
    <w:lvl w:ilvl="1">
      <w:lvlJc w:val="left"/>
      <w:lvlText w:val="(%2)"/>
      <w:numFmt w:val="lowerLetter"/>
      <w:start w:val="5"/>
    </w:lvl>
  </w:abstractNum>
  <w:abstractNum w:abstractNumId="46">
    <w:nsid w:val="374A3FE6"/>
    <w:multiLevelType w:val="hybridMultilevel"/>
    <w:lvl w:ilvl="0">
      <w:lvlJc w:val="left"/>
      <w:lvlText w:val="%1."/>
      <w:numFmt w:val="decimal"/>
      <w:start w:val="4"/>
    </w:lvl>
    <w:lvl w:ilvl="1">
      <w:lvlJc w:val="left"/>
      <w:lvlText w:val="(%2)"/>
      <w:numFmt w:val="lowerLetter"/>
      <w:start w:val="1"/>
    </w:lvl>
  </w:abstractNum>
  <w:abstractNum w:abstractNumId="47">
    <w:nsid w:val="4F4EF005"/>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48">
    <w:nsid w:val="23F9C13C"/>
    <w:multiLevelType w:val="hybridMultilevel"/>
    <w:lvl w:ilvl="0">
      <w:lvlJc w:val="left"/>
      <w:lvlText w:val="(%1)"/>
      <w:numFmt w:val="lowerLetter"/>
      <w:start w:val="35"/>
    </w:lvl>
    <w:lvl w:ilvl="1">
      <w:lvlJc w:val="left"/>
      <w:lvlText w:val="%2."/>
      <w:numFmt w:val="decimal"/>
      <w:start w:val="8"/>
    </w:lvl>
    <w:lvl w:ilvl="2">
      <w:lvlJc w:val="left"/>
      <w:lvlText w:val="(%3)"/>
      <w:numFmt w:val="lowerLetter"/>
      <w:start w:val="1"/>
    </w:lvl>
  </w:abstractNum>
  <w:abstractNum w:abstractNumId="49">
    <w:nsid w:val="649BB77C"/>
    <w:multiLevelType w:val="hybridMultilevel"/>
    <w:lvl w:ilvl="0">
      <w:lvlJc w:val="left"/>
      <w:lvlText w:val="%1"/>
      <w:numFmt w:val="decimal"/>
      <w:start w:val="1"/>
    </w:lvl>
    <w:lvl w:ilvl="1">
      <w:lvlJc w:val="left"/>
      <w:lvlText w:val="(%2)"/>
      <w:numFmt w:val="lowerLetter"/>
      <w:start w:val="2"/>
    </w:lvl>
  </w:abstractNum>
  <w:abstractNum w:abstractNumId="50">
    <w:nsid w:val="275AC794"/>
    <w:multiLevelType w:val="hybridMultilevel"/>
    <w:lvl w:ilvl="0">
      <w:lvlJc w:val="left"/>
      <w:lvlText w:val="%1."/>
      <w:numFmt w:val="decimal"/>
      <w:start w:val="9"/>
    </w:lvl>
    <w:lvl w:ilvl="1">
      <w:lvlJc w:val="left"/>
      <w:lvlText w:val="%2"/>
      <w:numFmt w:val="lowerLetter"/>
      <w:start w:val="1"/>
    </w:lvl>
  </w:abstractNum>
  <w:abstractNum w:abstractNumId="51">
    <w:nsid w:val="39386575"/>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52">
    <w:nsid w:val="1CF10FD8"/>
    <w:multiLevelType w:val="hybridMultilevel"/>
    <w:lvl w:ilvl="0">
      <w:lvlJc w:val="left"/>
      <w:lvlText w:val="%1"/>
      <w:numFmt w:val="lowerLetter"/>
      <w:start w:val="1"/>
    </w:lvl>
    <w:lvl w:ilvl="1">
      <w:lvlJc w:val="left"/>
      <w:lvlText w:val="(%2)"/>
      <w:numFmt w:val="lowerLetter"/>
      <w:start w:val="3"/>
    </w:lvl>
  </w:abstractNum>
  <w:abstractNum w:abstractNumId="53">
    <w:nsid w:val="180115BE"/>
    <w:multiLevelType w:val="hybridMultilevel"/>
    <w:lvl w:ilvl="0">
      <w:lvlJc w:val="left"/>
      <w:lvlText w:val="(%1)"/>
      <w:numFmt w:val="lowerLetter"/>
      <w:start w:val="61"/>
    </w:lvl>
    <w:lvl w:ilvl="1">
      <w:lvlJc w:val="left"/>
      <w:lvlText w:val="(%2)"/>
      <w:numFmt w:val="lowerLetter"/>
      <w:start w:val="9"/>
    </w:lvl>
  </w:abstractNum>
  <w:abstractNum w:abstractNumId="54">
    <w:nsid w:val="235BA861"/>
    <w:multiLevelType w:val="hybridMultilevel"/>
    <w:lvl w:ilvl="0">
      <w:lvlJc w:val="left"/>
      <w:lvlText w:val="%1"/>
      <w:numFmt w:val="decimal"/>
      <w:start w:val="1"/>
    </w:lvl>
    <w:lvl w:ilvl="1">
      <w:lvlJc w:val="left"/>
      <w:lvlText w:val="(%2)"/>
      <w:numFmt w:val="lowerLetter"/>
      <w:start w:val="10"/>
    </w:lvl>
  </w:abstractNum>
  <w:abstractNum w:abstractNumId="55">
    <w:nsid w:val="47398C89"/>
    <w:multiLevelType w:val="hybridMultilevel"/>
    <w:lvl w:ilvl="0">
      <w:lvlJc w:val="left"/>
      <w:lvlText w:val="%1."/>
      <w:numFmt w:val="decimal"/>
      <w:start w:val="12"/>
    </w:lvl>
    <w:lvl w:ilvl="1">
      <w:lvlJc w:val="left"/>
      <w:lvlText w:val="(%2)"/>
      <w:numFmt w:val="lowerLetter"/>
      <w:start w:val="1"/>
    </w:lvl>
  </w:abstractNum>
  <w:abstractNum w:abstractNumId="56">
    <w:nsid w:val="354FE9F9"/>
    <w:multiLevelType w:val="hybridMultilevel"/>
    <w:lvl w:ilvl="0">
      <w:lvlJc w:val="left"/>
      <w:lvlText w:val="(%1)"/>
      <w:numFmt w:val="lowerLetter"/>
      <w:start w:val="6"/>
    </w:lvl>
  </w:abstractNum>
  <w:abstractNum w:abstractNumId="57">
    <w:nsid w:val="15B5AF5C"/>
    <w:multiLevelType w:val="hybridMultilevel"/>
    <w:lvl w:ilvl="0">
      <w:lvlJc w:val="left"/>
      <w:lvlText w:val="%1."/>
      <w:numFmt w:val="decimal"/>
      <w:start w:val="1"/>
    </w:lvl>
    <w:lvl w:ilvl="1">
      <w:lvlJc w:val="left"/>
      <w:lvlText w:val="%2."/>
      <w:numFmt w:val="lowerLetter"/>
      <w:start w:val="1"/>
    </w:lvl>
  </w:abstractNum>
  <w:abstractNum w:abstractNumId="58">
    <w:nsid w:val="741226BB"/>
    <w:multiLevelType w:val="hybridMultilevel"/>
    <w:lvl w:ilvl="0">
      <w:lvlJc w:val="left"/>
      <w:lvlText w:val="%1."/>
      <w:numFmt w:val="decimal"/>
      <w:start w:val="1"/>
    </w:lvl>
    <w:lvl w:ilvl="1">
      <w:lvlJc w:val="left"/>
      <w:lvlText w:val="%2."/>
      <w:numFmt w:val="lowerLetter"/>
      <w:start w:val="1"/>
    </w:lvl>
  </w:abstractNum>
  <w:abstractNum w:abstractNumId="59">
    <w:nsid w:val="D34B6A8"/>
    <w:multiLevelType w:val="hybridMultilevel"/>
    <w:lvl w:ilvl="0">
      <w:lvlJc w:val="left"/>
      <w:lvlText w:val="(%1)"/>
      <w:numFmt w:val="decimal"/>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43" Type="http://schemas.openxmlformats.org/officeDocument/2006/relationships/image" Target="media/image127.png"/><Relationship Id="rId144" Type="http://schemas.openxmlformats.org/officeDocument/2006/relationships/image" Target="media/image128.png"/><Relationship Id="rId145" Type="http://schemas.openxmlformats.org/officeDocument/2006/relationships/image" Target="media/image129.png"/><Relationship Id="rId146" Type="http://schemas.openxmlformats.org/officeDocument/2006/relationships/image" Target="media/image130.png"/><Relationship Id="rId147" Type="http://schemas.openxmlformats.org/officeDocument/2006/relationships/image" Target="media/image131.png"/><Relationship Id="rId148" Type="http://schemas.openxmlformats.org/officeDocument/2006/relationships/image" Target="media/image132.png"/><Relationship Id="rId149" Type="http://schemas.openxmlformats.org/officeDocument/2006/relationships/image" Target="media/image133.png"/><Relationship Id="rId150" Type="http://schemas.openxmlformats.org/officeDocument/2006/relationships/image" Target="media/image134.png"/><Relationship Id="rId151" Type="http://schemas.openxmlformats.org/officeDocument/2006/relationships/image" Target="media/image135.png"/><Relationship Id="rId152" Type="http://schemas.openxmlformats.org/officeDocument/2006/relationships/image" Target="media/image136.png"/><Relationship Id="rId153" Type="http://schemas.openxmlformats.org/officeDocument/2006/relationships/image" Target="media/image137.png"/><Relationship Id="rId154" Type="http://schemas.openxmlformats.org/officeDocument/2006/relationships/image" Target="media/image138.png"/><Relationship Id="rId155" Type="http://schemas.openxmlformats.org/officeDocument/2006/relationships/image" Target="media/image139.png"/><Relationship Id="rId156" Type="http://schemas.openxmlformats.org/officeDocument/2006/relationships/image" Target="media/image140.png"/><Relationship Id="rId157" Type="http://schemas.openxmlformats.org/officeDocument/2006/relationships/image" Target="media/image141.png"/><Relationship Id="rId158" Type="http://schemas.openxmlformats.org/officeDocument/2006/relationships/image" Target="media/image142.png"/><Relationship Id="rId159" Type="http://schemas.openxmlformats.org/officeDocument/2006/relationships/image" Target="media/image143.png"/><Relationship Id="rId160" Type="http://schemas.openxmlformats.org/officeDocument/2006/relationships/image" Target="media/image144.png"/><Relationship Id="rId161" Type="http://schemas.openxmlformats.org/officeDocument/2006/relationships/image" Target="media/image145.png"/><Relationship Id="rId162" Type="http://schemas.openxmlformats.org/officeDocument/2006/relationships/image" Target="media/image146.png"/><Relationship Id="rId134" Type="http://schemas.openxmlformats.org/officeDocument/2006/relationships/hyperlink" Target="https://www.sec.gov/Archives/edgar/data/1655210/000165521019000053/byndarcert_incorpex-31.htm" TargetMode="External"/><Relationship Id="rId135" Type="http://schemas.openxmlformats.org/officeDocument/2006/relationships/hyperlink" Target="https://www.sec.gov/Archives/edgar/data/1655210/000119312525115042/d917100dex31.htm" TargetMode="External"/><Relationship Id="rId136" Type="http://schemas.openxmlformats.org/officeDocument/2006/relationships/hyperlink" Target="https://www.sec.gov/Archives/edgar/data/1655210/000165521024000013/ex31amendedandrestatedby.htm" TargetMode="External"/><Relationship Id="rId137" Type="http://schemas.openxmlformats.org/officeDocument/2006/relationships/hyperlink" Target="https://www.sec.gov/Archives/edgar/data/1655210/000162828019003500/exhibit41-sx1a3.htm" TargetMode="External"/><Relationship Id="rId138" Type="http://schemas.openxmlformats.org/officeDocument/2006/relationships/hyperlink" Target="https://www.sec.gov/Archives/edgar/data/1655210/000165521023000017/ex43descriptionofsecurities.htm" TargetMode="External"/><Relationship Id="rId139" Type="http://schemas.openxmlformats.org/officeDocument/2006/relationships/hyperlink" Target="https://www.sec.gov/Archives/edgar/data/1655210/000119312521071594/d116764dex41.htm" TargetMode="External"/><Relationship Id="rId140" Type="http://schemas.openxmlformats.org/officeDocument/2006/relationships/hyperlink" Target="https://www.sec.gov/Archives/edgar/data/1655210/000165521025000061/ex101akerhooghoghomeh-sepa.htm" TargetMode="External"/><Relationship Id="rId141" Type="http://schemas.openxmlformats.org/officeDocument/2006/relationships/hyperlink" Target="https://www.sec.gov/Archives/edgar/data/1655210/000119312525115042/d917100dex101.htm" TargetMode="External"/><Relationship Id="rId142" Type="http://schemas.openxmlformats.org/officeDocument/2006/relationships/hyperlink" Target="https://www.sec.gov/Archives/edgar/data/1655210/000162828019000200/exhibit1011byn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2025-05-08T16:34:36Z</dcterms:created>
  <dcterms:modified xsi:type="dcterms:W3CDTF">2025-05-08T16:34:36Z</dcterms:modified>
</cp:coreProperties>
</file>