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67049019.xml.htm"/>
      <w:bookmarkStart w:id="1" w:name="kswkform4_176704901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GRAYSON CHELSEA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BEYOND MEAT,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888 N. DOUGLAS STREET,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EL SEGUNDO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90245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BEYOND MEAT,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BYND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12/26/2025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12/26/2025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492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0.9833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40,225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in this Form 4 were effected pursuant to a Rule 10b5-1 trading plan adopted by the Reporting Person on December 12, 2024.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Teri L. Witteman, as Attorney-In-Fact for Chelsea A. Grayson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12/29/2025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28264" TargetMode="External"/><Relationship Id="rId5" Type="http://schemas.openxmlformats.org/officeDocument/2006/relationships/hyperlink" Target="http://www.sec.gov/cgi-bin/browse-edgar?action=getcompany&amp;CIK=000165521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597</Words>
  <Characters>3206</Characters>
  <CharactersWithSpaces>3743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