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Beyond Meat,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26-4087597</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N. Douglas Street, Suite 100</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Segundo, CA 90245</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Beyond Meat, Inc. 2026 Employment Inducement Equity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Lubi Kutua</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N. Douglas Street, Suite 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Segundo, CA 90245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(866) 756-4112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Gregory P. Rodgers,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Cathy Birkeland,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202565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177165</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280" w:firstLine="981"/>
        <w:spacing w:after="0" w:line="257" w:lineRule="auto"/>
        <w:rPr>
          <w:sz w:val="20"/>
          <w:szCs w:val="20"/>
          <w:color w:val="auto"/>
        </w:rPr>
      </w:pPr>
      <w:r>
        <w:rPr>
          <w:rFonts w:ascii="Times New Roman" w:cs="Times New Roman" w:eastAsia="Times New Roman" w:hAnsi="Times New Roman"/>
          <w:sz w:val="18"/>
          <w:szCs w:val="18"/>
          <w:color w:val="auto"/>
        </w:rPr>
        <w:t>Beyond Meat, Inc. (the “Company” or “Registrant”) is filing with the Securities and Exchange Commission (the “Commission”) this registration statement on Form S-8 (this “Registration Statement”) for the purpose of registering 10,000,000 shares of the Company’s common stock, par value $0.0001 per share, reserved for issuance under the Beyond Meat, Inc. 2026 Employment Inducement Equity Incentive Plan (the “2026 Inducement Plan”). The 2026 Inducement Plan was adopted by the Company’s Board of Directors on March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2" w:lineRule="exact"/>
        <w:rPr>
          <w:sz w:val="20"/>
          <w:szCs w:val="20"/>
          <w:color w:val="auto"/>
        </w:rPr>
      </w:pPr>
    </w:p>
    <w:p>
      <w:pPr>
        <w:ind w:right="20" w:firstLine="981"/>
        <w:spacing w:after="0" w:line="262"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delivered to the participants in the 2026 Inducement Plan covered by this Registration Statement as required by Rule 428(b)(1) of the Securities Act of 1933, as amended (the “Securities Act”). Such documents are not required to be filed with the Commission as part of this Registration Statement.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ind w:left="9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documents filed by the Company with the Commission are hereby incorporated by reference in this Registration Statement:</w:t>
      </w:r>
    </w:p>
    <w:p>
      <w:pPr>
        <w:spacing w:after="0" w:line="125" w:lineRule="exact"/>
        <w:rPr>
          <w:sz w:val="20"/>
          <w:szCs w:val="20"/>
          <w:color w:val="auto"/>
        </w:rPr>
      </w:pPr>
    </w:p>
    <w:p>
      <w:pPr>
        <w:ind w:right="920" w:firstLine="975"/>
        <w:spacing w:after="0" w:line="277" w:lineRule="auto"/>
        <w:tabs>
          <w:tab w:leader="none" w:pos="122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December 31, 2025, filed by the Company with the Commission on </w:t>
      </w:r>
      <w:hyperlink r:id="rId19">
        <w:r>
          <w:rPr>
            <w:rFonts w:ascii="Times New Roman" w:cs="Times New Roman" w:eastAsia="Times New Roman" w:hAnsi="Times New Roman"/>
            <w:sz w:val="18"/>
            <w:szCs w:val="18"/>
            <w:u w:val="single" w:color="auto"/>
            <w:color w:val="0000EE"/>
          </w:rPr>
          <w:t>April 9, 2026</w:t>
        </w:r>
      </w:hyperlink>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Form 10-Q for the quarter ended March 28, 2026, filed with the Commission on </w:t>
      </w:r>
      <w:hyperlink r:id="rId20">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500" w:firstLine="975"/>
        <w:spacing w:after="0" w:line="262" w:lineRule="auto"/>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Company’s Annual Report on Form 10-K for the year ended December 31, 2025 filed with the Commission on April 9, 2026 from the Company’s Definitive Proxy Statement on Schedule 14A, filed with the Commission on </w:t>
      </w:r>
      <w:hyperlink r:id="rId21">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right="340" w:firstLine="975"/>
        <w:spacing w:after="0" w:line="277" w:lineRule="auto"/>
        <w:tabs>
          <w:tab w:leader="none" w:pos="1233"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filed by the Company with the Commission on </w:t>
      </w:r>
      <w:hyperlink r:id="rId22">
        <w:r>
          <w:rPr>
            <w:rFonts w:ascii="Times New Roman" w:cs="Times New Roman" w:eastAsia="Times New Roman" w:hAnsi="Times New Roman"/>
            <w:sz w:val="18"/>
            <w:szCs w:val="18"/>
            <w:u w:val="single" w:color="auto"/>
            <w:color w:val="0000EE"/>
          </w:rPr>
          <w:t>January 5,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January 12,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April 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April 9,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3" w:lineRule="exact"/>
        <w:rPr>
          <w:rFonts w:ascii="Times New Roman" w:cs="Times New Roman" w:eastAsia="Times New Roman" w:hAnsi="Times New Roman"/>
          <w:sz w:val="18"/>
          <w:szCs w:val="18"/>
          <w:color w:val="0000EE"/>
        </w:rPr>
      </w:pPr>
    </w:p>
    <w:p>
      <w:pPr>
        <w:ind w:right="80" w:firstLine="975"/>
        <w:spacing w:after="0" w:line="257" w:lineRule="auto"/>
        <w:tabs>
          <w:tab w:leader="none" w:pos="122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included as </w:t>
      </w:r>
      <w:hyperlink r:id="rId28">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Annual Report on Form 10-K for the fiscal year ended December 31, 2025, filed by the Company with the Commission on April 9, 2026, which updated the description thereof contained in the Company’s Registration Statement on Form 8-A (File no. 001-38879) initially filed with the Commission on </w:t>
      </w:r>
      <w:hyperlink r:id="rId29">
        <w:r>
          <w:rPr>
            <w:rFonts w:ascii="Times New Roman" w:cs="Times New Roman" w:eastAsia="Times New Roman" w:hAnsi="Times New Roman"/>
            <w:sz w:val="18"/>
            <w:szCs w:val="18"/>
            <w:u w:val="single" w:color="auto"/>
            <w:color w:val="0000EE"/>
          </w:rPr>
          <w:t>April 24, 2019</w:t>
        </w:r>
      </w:hyperlink>
      <w:r>
        <w:rPr>
          <w:rFonts w:ascii="Times New Roman" w:cs="Times New Roman" w:eastAsia="Times New Roman" w:hAnsi="Times New Roman"/>
          <w:sz w:val="18"/>
          <w:szCs w:val="18"/>
          <w:color w:val="auto"/>
        </w:rPr>
        <w:t>, and any amendment or report filed with the Commission for the purpose of updating the description.</w:t>
      </w:r>
    </w:p>
    <w:p>
      <w:pPr>
        <w:spacing w:after="0" w:line="182" w:lineRule="exact"/>
        <w:rPr>
          <w:rFonts w:ascii="Times New Roman" w:cs="Times New Roman" w:eastAsia="Times New Roman" w:hAnsi="Times New Roman"/>
          <w:sz w:val="18"/>
          <w:szCs w:val="18"/>
          <w:color w:val="auto"/>
        </w:rPr>
      </w:pPr>
    </w:p>
    <w:p>
      <w:pPr>
        <w:ind w:firstLine="981"/>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Securities Exchange Act of 1934, as amended (the “Exchange Act”), after the date hereof (excluding any documents or portions of such documents that are furnished under Item 2.02 or Item 7.01 of a Current Report on Form 8-K and any exhibits included with such Items), and prior to the filing of a post-effective amendment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ectPr>
          <w:pgSz w:w="11900" w:h="16838" w:orient="portrait"/>
          <w:cols w:equalWidth="0" w:num="1">
            <w:col w:w="10900"/>
          </w:cols>
          <w:pgMar w:left="500" w:top="264" w:right="499" w:bottom="1440" w:gutter="0" w:footer="0" w:header="0"/>
        </w:sectPr>
      </w:pPr>
    </w:p>
    <w:bookmarkStart w:id="2" w:name="page3"/>
    <w:bookmarkEnd w:id="2"/>
    <w:p>
      <w:pPr>
        <w:ind w:left="960"/>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-202565</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1500" w:space="440"/>
            <w:col w:w="8960"/>
          </w:cols>
          <w:pgMar w:left="500" w:top="264" w:right="49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500" w:top="264" w:right="499" w:bottom="1440" w:gutter="0" w:footer="0" w:header="0"/>
          <w:type w:val="continuous"/>
        </w:sectPr>
      </w:pPr>
    </w:p>
    <w:p>
      <w:pPr>
        <w:spacing w:after="0" w:line="3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sz w:val="20"/>
          <w:szCs w:val="20"/>
          <w:color w:val="auto"/>
        </w:rPr>
      </w:pPr>
    </w:p>
    <w:p>
      <w:pPr>
        <w:sectPr>
          <w:pgSz w:w="11900" w:h="16838" w:orient="portrait"/>
          <w:cols w:equalWidth="0" w:num="2">
            <w:col w:w="1500" w:space="440"/>
            <w:col w:w="8960"/>
          </w:cols>
          <w:pgMar w:left="500" w:top="264" w:right="49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500" w:top="264" w:right="499" w:bottom="1440" w:gutter="0" w:footer="0" w:header="0"/>
          <w:type w:val="continuous"/>
        </w:sectPr>
      </w:pPr>
    </w:p>
    <w:p>
      <w:pPr>
        <w:spacing w:after="0" w:line="3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sz w:val="20"/>
          <w:szCs w:val="20"/>
          <w:color w:val="auto"/>
        </w:rPr>
      </w:pPr>
    </w:p>
    <w:p>
      <w:pPr>
        <w:sectPr>
          <w:pgSz w:w="11900" w:h="16838" w:orient="portrait"/>
          <w:cols w:equalWidth="0" w:num="2">
            <w:col w:w="1500" w:space="440"/>
            <w:col w:w="8960"/>
          </w:cols>
          <w:pgMar w:left="500" w:top="264" w:right="499" w:bottom="1440" w:gutter="0" w:footer="0" w:header="0"/>
          <w:type w:val="continuous"/>
        </w:sectPr>
      </w:pPr>
    </w:p>
    <w:p>
      <w:pPr>
        <w:ind w:right="100" w:firstLine="981"/>
        <w:spacing w:after="0" w:line="252"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5" w:lineRule="exact"/>
        <w:rPr>
          <w:sz w:val="20"/>
          <w:szCs w:val="20"/>
          <w:color w:val="auto"/>
        </w:rPr>
      </w:pPr>
    </w:p>
    <w:p>
      <w:pPr>
        <w:ind w:right="20" w:firstLine="981"/>
        <w:spacing w:after="0" w:line="268"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7"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ectPr>
          <w:pgSz w:w="11900" w:h="16838" w:orient="portrait"/>
          <w:cols w:equalWidth="0" w:num="1">
            <w:col w:w="10900"/>
          </w:cols>
          <w:pgMar w:left="500" w:top="264" w:right="499" w:bottom="1440" w:gutter="0" w:footer="0" w:header="0"/>
          <w:type w:val="continuous"/>
        </w:sectPr>
      </w:pPr>
    </w:p>
    <w:bookmarkStart w:id="3" w:name="page4"/>
    <w:bookmarkEnd w:id="3"/>
    <w:p>
      <w:pPr>
        <w:ind w:right="100" w:firstLine="98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ind w:right="320" w:firstLine="981"/>
        <w:spacing w:after="0" w:line="262"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(i) to the Registrant’s directors and officers against loss arising from claims made by reason of breach of duty or other wrongful act, and (ii) to the Registrant with respect to payments the Registrant may make to its officers and directors pursuant to the above indemnification provision or otherwise as a matter of law.</w:t>
      </w:r>
    </w:p>
    <w:p>
      <w:pPr>
        <w:spacing w:after="0" w:line="177" w:lineRule="exact"/>
        <w:rPr>
          <w:sz w:val="20"/>
          <w:szCs w:val="20"/>
          <w:color w:val="auto"/>
        </w:rPr>
      </w:pPr>
    </w:p>
    <w:p>
      <w:pPr>
        <w:ind w:right="440" w:firstLine="981"/>
        <w:spacing w:after="0" w:line="277" w:lineRule="auto"/>
        <w:rPr>
          <w:sz w:val="20"/>
          <w:szCs w:val="20"/>
          <w:color w:val="auto"/>
        </w:rPr>
      </w:pPr>
      <w:r>
        <w:rPr>
          <w:rFonts w:ascii="Times New Roman" w:cs="Times New Roman" w:eastAsia="Times New Roman" w:hAnsi="Times New Roman"/>
          <w:sz w:val="18"/>
          <w:szCs w:val="18"/>
          <w:color w:val="auto"/>
        </w:rPr>
        <w:t>The Registrant’s restated certificate of incorporation and amended and restated bylaws provide that the Registrant will indemnify its directors and officers, and may indemnify its employees and other agents, to the fullest extent permitted by Delaware law.</w:t>
      </w:r>
    </w:p>
    <w:p>
      <w:pPr>
        <w:spacing w:after="0" w:line="163"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The Registrant has entered into an indemnification agreement with each member of its board of directors and each of its officers. These agreements provide for the indemnification of the Registrant’s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the Registrant, by reason of any action or inaction by them while serving as an officer, director, agent or fiduciary, or by reason of the fact that they were serving at the Registrant’s request as a director, officer, employee, agent or fiduciary of another entity. In the case of an action or proceeding by or in the right of the Registrant or any of its subsidiaries, no indemnification will be provided for any claim where a court determines that the indemnified party is prohibited from receiving indemnification.</w:t>
      </w:r>
    </w:p>
    <w:p>
      <w:pPr>
        <w:spacing w:after="0" w:line="185" w:lineRule="exact"/>
        <w:rPr>
          <w:sz w:val="20"/>
          <w:szCs w:val="20"/>
          <w:color w:val="auto"/>
        </w:rPr>
      </w:pPr>
    </w:p>
    <w:p>
      <w:pPr>
        <w:ind w:right="40" w:firstLine="981"/>
        <w:spacing w:after="0" w:line="262"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200" w:lineRule="exact"/>
        <w:rPr>
          <w:sz w:val="20"/>
          <w:szCs w:val="20"/>
          <w:color w:val="auto"/>
        </w:rPr>
      </w:pPr>
    </w:p>
    <w:p>
      <w:pPr>
        <w:ind w:left="9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20"/>
          </w:cols>
          <w:pgMar w:left="500" w:top="268" w:right="579" w:bottom="1440" w:gutter="0" w:footer="0" w:header="0"/>
        </w:sectPr>
      </w:pPr>
    </w:p>
    <w:bookmarkStart w:id="4" w:name="page5"/>
    <w:bookmarkEnd w:id="4"/>
    <w:p>
      <w:pPr>
        <w:ind w:left="966"/>
        <w:spacing w:after="0"/>
        <w:tabs>
          <w:tab w:leader="none" w:pos="192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5"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4" w:lineRule="exact"/>
        <w:rPr>
          <w:sz w:val="20"/>
          <w:szCs w:val="20"/>
          <w:color w:val="auto"/>
        </w:rPr>
      </w:pPr>
    </w:p>
    <w:p>
      <w:pPr>
        <w:ind w:left="6"/>
        <w:spacing w:after="0"/>
        <w:tabs>
          <w:tab w:leader="none" w:pos="886"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Documents</w:t>
      </w:r>
    </w:p>
    <w:p>
      <w:pPr>
        <w:spacing w:after="0" w:line="81" w:lineRule="exact"/>
        <w:rPr>
          <w:sz w:val="20"/>
          <w:szCs w:val="20"/>
          <w:color w:val="auto"/>
        </w:rPr>
      </w:pPr>
    </w:p>
    <w:p>
      <w:pPr>
        <w:ind w:left="906" w:right="10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33">
        <w:r>
          <w:rPr>
            <w:rFonts w:ascii="Times New Roman" w:cs="Times New Roman" w:eastAsia="Times New Roman" w:hAnsi="Times New Roman"/>
            <w:sz w:val="18"/>
            <w:szCs w:val="18"/>
            <w:u w:val="single" w:color="auto"/>
            <w:color w:val="0000EE"/>
          </w:rPr>
          <w:t>Restated Certificate of Incorporation of Beyond Meat, Inc. (incorporated by reference to Exhibit 3.1 to the Company’s Form 10-K for the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year ended December 31, 2025, filed with the Commission on April 9, 2026) (File No. 001-38879).</w:t>
        </w:r>
      </w:hyperlink>
    </w:p>
    <w:p>
      <w:pPr>
        <w:spacing w:after="0" w:line="56" w:lineRule="exact"/>
        <w:rPr>
          <w:rFonts w:ascii="Times New Roman" w:cs="Times New Roman" w:eastAsia="Times New Roman" w:hAnsi="Times New Roman"/>
          <w:sz w:val="18"/>
          <w:szCs w:val="18"/>
          <w:u w:val="single" w:color="auto"/>
          <w:color w:val="0000EE"/>
        </w:rPr>
      </w:pPr>
    </w:p>
    <w:p>
      <w:pPr>
        <w:ind w:left="906" w:right="10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34">
        <w:r>
          <w:rPr>
            <w:rFonts w:ascii="Times New Roman" w:cs="Times New Roman" w:eastAsia="Times New Roman" w:hAnsi="Times New Roman"/>
            <w:sz w:val="18"/>
            <w:szCs w:val="18"/>
            <w:u w:val="single" w:color="auto"/>
            <w:color w:val="0000EE"/>
          </w:rPr>
          <w:t>Amended and Restated Bylaws of Beyond Meat, Inc. (incorporated by reference to Exhibit 3.1 to the Company’s Form 8-K, filed with the</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Commission on February 13, 2024) (File No. 001-38879).</w:t>
        </w:r>
      </w:hyperlink>
    </w:p>
    <w:p>
      <w:pPr>
        <w:spacing w:after="0" w:line="56" w:lineRule="exact"/>
        <w:rPr>
          <w:rFonts w:ascii="Times New Roman" w:cs="Times New Roman" w:eastAsia="Times New Roman" w:hAnsi="Times New Roman"/>
          <w:sz w:val="18"/>
          <w:szCs w:val="18"/>
          <w:u w:val="single" w:color="auto"/>
          <w:color w:val="0000EE"/>
        </w:rPr>
      </w:pPr>
    </w:p>
    <w:p>
      <w:pPr>
        <w:ind w:left="906" w:right="72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5">
        <w:r>
          <w:rPr>
            <w:rFonts w:ascii="Times New Roman" w:cs="Times New Roman" w:eastAsia="Times New Roman" w:hAnsi="Times New Roman"/>
            <w:sz w:val="18"/>
            <w:szCs w:val="18"/>
            <w:u w:val="single" w:color="auto"/>
            <w:color w:val="0000EE"/>
          </w:rPr>
          <w:t>Form of Common Stock Certificate (incorporated herein by reference to Exhibit 4.1 to the Company’s Form S-1/A, filed with the</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Commission on March 27, 2019).</w:t>
        </w:r>
      </w:hyperlink>
    </w:p>
    <w:p>
      <w:pPr>
        <w:spacing w:after="0" w:line="56" w:lineRule="exact"/>
        <w:rPr>
          <w:rFonts w:ascii="Times New Roman" w:cs="Times New Roman" w:eastAsia="Times New Roman" w:hAnsi="Times New Roman"/>
          <w:sz w:val="18"/>
          <w:szCs w:val="18"/>
          <w:u w:val="single" w:color="auto"/>
          <w:color w:val="0000EE"/>
        </w:rPr>
      </w:pPr>
    </w:p>
    <w:p>
      <w:pPr>
        <w:ind w:left="906" w:right="32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8">
        <w:r>
          <w:rPr>
            <w:rFonts w:ascii="Times New Roman" w:cs="Times New Roman" w:eastAsia="Times New Roman" w:hAnsi="Times New Roman"/>
            <w:sz w:val="18"/>
            <w:szCs w:val="18"/>
            <w:u w:val="single" w:color="auto"/>
            <w:color w:val="0000EE"/>
          </w:rPr>
          <w:t>Description of Registrant’s Securities (incorporated herein by reference to Exhibit 4.3 to the Company’s Form 10-K for the year ended</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December 31, 2025, filed with the Commission on April 9, 2026) (File No. 001-38879).</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Deloitte &amp; Touche LLP, Independent Registered Public Accounting Firm.</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(contained on the signature page of this Registration Statement).</w:t>
      </w:r>
    </w:p>
    <w:p>
      <w:pPr>
        <w:spacing w:after="0" w:line="125" w:lineRule="exact"/>
        <w:rPr>
          <w:rFonts w:ascii="Times New Roman" w:cs="Times New Roman" w:eastAsia="Times New Roman" w:hAnsi="Times New Roman"/>
          <w:sz w:val="17"/>
          <w:szCs w:val="17"/>
          <w:color w:val="auto"/>
        </w:rPr>
      </w:pPr>
    </w:p>
    <w:p>
      <w:pPr>
        <w:ind w:left="906" w:right="40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6">
        <w:r>
          <w:rPr>
            <w:rFonts w:ascii="Times New Roman" w:cs="Times New Roman" w:eastAsia="Times New Roman" w:hAnsi="Times New Roman"/>
            <w:sz w:val="18"/>
            <w:szCs w:val="18"/>
            <w:u w:val="single" w:color="auto"/>
            <w:color w:val="0000EE"/>
          </w:rPr>
          <w:t>Beyond Meat, Inc. 2026 Employment Inducement Equity Incentive Plan (incorporated by reference to Exhibit 10.2 to the Company’s</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Form 8-K, filed with the Commission on April 2, 2026) (File No. 001-38879).</w:t>
        </w:r>
      </w:hyperlink>
    </w:p>
    <w:p>
      <w:pPr>
        <w:spacing w:after="0" w:line="56" w:lineRule="exact"/>
        <w:rPr>
          <w:rFonts w:ascii="Times New Roman" w:cs="Times New Roman" w:eastAsia="Times New Roman" w:hAnsi="Times New Roman"/>
          <w:sz w:val="18"/>
          <w:szCs w:val="18"/>
          <w:u w:val="single" w:color="auto"/>
          <w:color w:val="0000EE"/>
        </w:rPr>
      </w:pPr>
    </w:p>
    <w:p>
      <w:pPr>
        <w:ind w:left="906"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7">
        <w:r>
          <w:rPr>
            <w:rFonts w:ascii="Times New Roman" w:cs="Times New Roman" w:eastAsia="Times New Roman" w:hAnsi="Times New Roman"/>
            <w:sz w:val="18"/>
            <w:szCs w:val="18"/>
            <w:u w:val="single" w:color="auto"/>
            <w:color w:val="0000EE"/>
          </w:rPr>
          <w:t>Form of Beyond Meat, Inc. 2026 Employment Inducement Equity Incentive Plan Restricted Stock Unit Award Agreement (incorporated by</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reference to Exhibit 10.3 to the Company’s Form 8-K, filed with the Commission on April 2, 2026) (File No. 001-38879).</w:t>
        </w:r>
      </w:hyperlink>
    </w:p>
    <w:p>
      <w:pPr>
        <w:spacing w:after="0" w:line="56" w:lineRule="exact"/>
        <w:rPr>
          <w:rFonts w:ascii="Times New Roman" w:cs="Times New Roman" w:eastAsia="Times New Roman" w:hAnsi="Times New Roman"/>
          <w:sz w:val="18"/>
          <w:szCs w:val="18"/>
          <w:u w:val="single" w:color="auto"/>
          <w:color w:val="0000EE"/>
        </w:rPr>
      </w:pPr>
    </w:p>
    <w:p>
      <w:pPr>
        <w:ind w:left="906" w:right="580" w:hanging="906"/>
        <w:spacing w:after="0" w:line="277" w:lineRule="auto"/>
        <w:tabs>
          <w:tab w:leader="none" w:pos="8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38">
        <w:r>
          <w:rPr>
            <w:rFonts w:ascii="Times New Roman" w:cs="Times New Roman" w:eastAsia="Times New Roman" w:hAnsi="Times New Roman"/>
            <w:sz w:val="18"/>
            <w:szCs w:val="18"/>
            <w:u w:val="single" w:color="auto"/>
            <w:color w:val="0000EE"/>
          </w:rPr>
          <w:t>Form of Beyond Meat, Inc. 2026 Employment Inducement Equity Incentive Plan Stock Option Award Agreement (incorporated by</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reference to Exhibit 10.4 to the Company’s Form 8-K, filed with the Commission on April 2, 2026) (File No. 001-38879).</w:t>
        </w:r>
      </w:hyperlink>
    </w:p>
    <w:p>
      <w:pPr>
        <w:spacing w:after="0" w:line="57" w:lineRule="exact"/>
        <w:rPr>
          <w:rFonts w:ascii="Times New Roman" w:cs="Times New Roman" w:eastAsia="Times New Roman" w:hAnsi="Times New Roman"/>
          <w:sz w:val="18"/>
          <w:szCs w:val="18"/>
          <w:color w:val="auto"/>
        </w:rPr>
      </w:pPr>
    </w:p>
    <w:p>
      <w:pPr>
        <w:ind w:left="6"/>
        <w:spacing w:after="0"/>
        <w:tabs>
          <w:tab w:leader="none" w:pos="88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846"/>
          </w:cols>
          <w:pgMar w:left="494" w:top="264" w:right="559" w:bottom="1440" w:gutter="0" w:footer="0" w:header="0"/>
        </w:sectPr>
      </w:pPr>
    </w:p>
    <w:bookmarkStart w:id="5" w:name="page6"/>
    <w:bookmarkEnd w:id="5"/>
    <w:p>
      <w:pPr>
        <w:ind w:left="9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114" w:lineRule="exact"/>
        <w:rPr>
          <w:sz w:val="20"/>
          <w:szCs w:val="20"/>
          <w:color w:val="auto"/>
        </w:rPr>
      </w:pPr>
    </w:p>
    <w:p>
      <w:pPr>
        <w:ind w:left="1220" w:hanging="245"/>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580" w:hanging="209"/>
        <w:spacing w:after="0"/>
        <w:tabs>
          <w:tab w:leader="none" w:pos="1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left="980" w:firstLine="391"/>
        <w:spacing w:after="0" w:line="270" w:lineRule="auto"/>
        <w:tabs>
          <w:tab w:leader="none" w:pos="1639"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63" w:lineRule="exact"/>
        <w:rPr>
          <w:rFonts w:ascii="Times New Roman" w:cs="Times New Roman" w:eastAsia="Times New Roman" w:hAnsi="Times New Roman"/>
          <w:sz w:val="17"/>
          <w:szCs w:val="17"/>
          <w:color w:val="auto"/>
        </w:rPr>
      </w:pPr>
    </w:p>
    <w:p>
      <w:pPr>
        <w:ind w:left="980" w:right="80" w:firstLine="391"/>
        <w:spacing w:after="0" w:line="277" w:lineRule="auto"/>
        <w:tabs>
          <w:tab w:leader="none" w:pos="16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right="280" w:firstLine="981"/>
        <w:spacing w:after="0" w:line="285" w:lineRule="auto"/>
        <w:rPr>
          <w:sz w:val="20"/>
          <w:szCs w:val="20"/>
          <w:color w:val="auto"/>
        </w:rPr>
      </w:pPr>
      <w:r>
        <w:rPr>
          <w:rFonts w:ascii="Times New Roman" w:cs="Times New Roman" w:eastAsia="Times New Roman" w:hAnsi="Times New Roman"/>
          <w:sz w:val="17"/>
          <w:szCs w:val="17"/>
          <w:color w:val="auto"/>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59" w:lineRule="exact"/>
        <w:rPr>
          <w:sz w:val="20"/>
          <w:szCs w:val="20"/>
          <w:color w:val="auto"/>
        </w:rPr>
      </w:pPr>
    </w:p>
    <w:p>
      <w:pPr>
        <w:ind w:right="40" w:firstLine="975"/>
        <w:spacing w:after="0" w:line="262" w:lineRule="auto"/>
        <w:tabs>
          <w:tab w:leader="none" w:pos="12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right="100" w:firstLine="975"/>
        <w:spacing w:after="0" w:line="277" w:lineRule="auto"/>
        <w:tabs>
          <w:tab w:leader="none" w:pos="12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40" w:firstLine="975"/>
        <w:spacing w:after="0" w:line="257" w:lineRule="auto"/>
        <w:tabs>
          <w:tab w:leader="none" w:pos="12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right="60" w:firstLine="975"/>
        <w:spacing w:after="0" w:line="252" w:lineRule="auto"/>
        <w:tabs>
          <w:tab w:leader="none" w:pos="12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00"/>
          </w:cols>
          <w:pgMar w:left="500" w:top="264" w:right="4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100" w:firstLine="98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El Segundo, State of California, on May 7,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Ethan Brown</w:t>
            </w:r>
          </w:p>
        </w:tc>
      </w:tr>
      <w:tr>
        <w:trPr>
          <w:trHeight w:val="189"/>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Ethan Brown</w:t>
            </w: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Ethan Brown and Lubi Kutua, and each of them, as his or her true and lawful attorneys-in-fact and agents, each with the full power of substitution and re-substitution, for him or her and in his or her name, place and stead, in any and all capacities, to sign any and all amendments to this Registration Statement, including post-effective amendments, and to file the same, together with exhibits thereto, and other documents in connection therewith, with the Commission, granting unto such attorneys-in-fact and agents, and each of them, full power and authority to do and perform each and every act and thing requisite and necessary to be done in connection therewith, as fully to all intents and purposes as he or she might do or could do in person, thereby ratifying and confirming all that said attorneys-in-fact and agents or any of them, or his, her or their substitute or substitutes, may lawfully do or cause to be done by virtue hereof.</w:t>
      </w:r>
    </w:p>
    <w:p>
      <w:pPr>
        <w:spacing w:after="0" w:line="185" w:lineRule="exact"/>
        <w:rPr>
          <w:sz w:val="20"/>
          <w:szCs w:val="20"/>
          <w:color w:val="auto"/>
        </w:rPr>
      </w:pPr>
    </w:p>
    <w:p>
      <w:pPr>
        <w:ind w:right="1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6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80" w:type="dxa"/>
            <w:vAlign w:val="bottom"/>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Ethan Brown</w:t>
            </w:r>
          </w:p>
        </w:tc>
        <w:tc>
          <w:tcPr>
            <w:tcW w:w="46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Ethan Brown</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Lubi Kutua</w:t>
            </w:r>
          </w:p>
        </w:tc>
        <w:tc>
          <w:tcPr>
            <w:tcW w:w="46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Lubi Kutua</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Tony Kalajian</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Tony Kalajian</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Seth Goldman</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Seth Goldman</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Chelsea Grayson</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Chelsea Grayson</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Colleen Jay</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Colleen Jay</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 James Koch</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James Koch</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Raymond J. Lane</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Raymond J. Lane</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Joshua Murray</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Joshua Murray</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Raphael T. Wallander</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Raphael T. Wallander</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Kathy N. Waller</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Kathy N. Waller</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Alexandre Zyngier</w:t>
            </w:r>
          </w:p>
        </w:tc>
        <w:tc>
          <w:tcPr>
            <w:tcW w:w="46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6"/>
              </w:rPr>
              <w:t>Director</w:t>
            </w:r>
          </w:p>
        </w:tc>
        <w:tc>
          <w:tcPr>
            <w:tcW w:w="16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Alexandre Zyngier</w:t>
            </w:r>
          </w:p>
        </w:tc>
        <w:tc>
          <w:tcPr>
            <w:tcW w:w="46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0820"/>
          </w:cols>
          <w:pgMar w:left="500" w:top="264" w:right="5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2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New York, New York 10020-1401</w:t>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Tel: +1.212.906.1200 Fax: +1.212.751.4864</w:t>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www.lw.com</w:t>
      </w:r>
    </w:p>
    <w:p>
      <w:pPr>
        <w:spacing w:after="0" w:line="1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2010410"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2010410" cy="161290"/>
                    </a:xfrm>
                    <a:prstGeom prst="rect">
                      <a:avLst/>
                    </a:prstGeom>
                    <a:noFill/>
                  </pic:spPr>
                </pic:pic>
              </a:graphicData>
            </a:graphic>
          </wp:anchor>
        </w:drawing>
      </w:r>
    </w:p>
    <w:p>
      <w:pPr>
        <w:spacing w:after="0" w:line="6"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Paris</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Riyadh</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Diego</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San Francisco</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Seoul</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Singapore</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Tel Aviv</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6"/>
          <w:szCs w:val="16"/>
          <w:color w:val="auto"/>
        </w:rPr>
        <w:t>Tokyo</w:t>
      </w:r>
    </w:p>
    <w:p>
      <w:pPr>
        <w:spacing w:after="0" w:line="7" w:lineRule="exact"/>
        <w:rPr>
          <w:sz w:val="20"/>
          <w:szCs w:val="20"/>
          <w:color w:val="auto"/>
        </w:rPr>
      </w:pPr>
    </w:p>
    <w:p>
      <w:pPr>
        <w:ind w:left="7280"/>
        <w:spacing w:after="0"/>
        <w:tabs>
          <w:tab w:leader="none" w:pos="8920" w:val="left"/>
        </w:tabs>
        <w:rPr>
          <w:sz w:val="20"/>
          <w:szCs w:val="20"/>
          <w:color w:val="auto"/>
        </w:rPr>
      </w:pPr>
      <w:r>
        <w:rPr>
          <w:rFonts w:ascii="Times New Roman" w:cs="Times New Roman" w:eastAsia="Times New Roman" w:hAnsi="Times New Roman"/>
          <w:sz w:val="18"/>
          <w:szCs w:val="18"/>
          <w:color w:val="auto"/>
        </w:rPr>
        <w:t>Madrid</w:t>
      </w:r>
      <w:r>
        <w:rPr>
          <w:sz w:val="20"/>
          <w:szCs w:val="20"/>
          <w:color w:val="auto"/>
        </w:rPr>
        <w:tab/>
      </w:r>
      <w:r>
        <w:rPr>
          <w:rFonts w:ascii="Times New Roman" w:cs="Times New Roman" w:eastAsia="Times New Roman" w:hAnsi="Times New Roman"/>
          <w:sz w:val="18"/>
          <w:szCs w:val="18"/>
          <w:color w:val="auto"/>
        </w:rPr>
        <w:t>Washington, D.C.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Meat,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N. Douglas Street, Suite 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 90245</w:t>
      </w:r>
    </w:p>
    <w:p>
      <w:pPr>
        <w:spacing w:after="0" w:line="22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 10,000,000 Shares of Common Stock, par value $0.0001 per share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Beyond Meat,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of an aggregate of 10,000,000 shares of common stock, $0.0001 par value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 pursuant to the Company’s 2026 Employment Inducement Equity Incentive Plan (the “</w:t>
      </w:r>
      <w:r>
        <w:rPr>
          <w:rFonts w:ascii="Times New Roman" w:cs="Times New Roman" w:eastAsia="Times New Roman" w:hAnsi="Times New Roman"/>
          <w:sz w:val="18"/>
          <w:szCs w:val="18"/>
          <w:b w:val="1"/>
          <w:bCs w:val="1"/>
          <w:i w:val="1"/>
          <w:iCs w:val="1"/>
          <w:color w:val="auto"/>
        </w:rPr>
        <w:t>2026 Inducement Plan</w:t>
      </w:r>
      <w:r>
        <w:rPr>
          <w:rFonts w:ascii="Times New Roman" w:cs="Times New Roman" w:eastAsia="Times New Roman" w:hAnsi="Times New Roman"/>
          <w:sz w:val="18"/>
          <w:szCs w:val="18"/>
          <w:color w:val="auto"/>
        </w:rPr>
        <w:t>”) adopted by the Company’s Board of Directors on March 30, 2026. The Shares are included in a Registration Statement on Form S-8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7,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w:t>
      </w:r>
    </w:p>
    <w:p>
      <w:pPr>
        <w:spacing w:after="0" w:line="186" w:lineRule="exact"/>
        <w:rPr>
          <w:sz w:val="20"/>
          <w:szCs w:val="20"/>
          <w:color w:val="auto"/>
        </w:rPr>
      </w:pPr>
    </w:p>
    <w:p>
      <w:pPr>
        <w:ind w:right="180" w:firstLine="436"/>
        <w:spacing w:after="0" w:line="257"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2" w:lineRule="exact"/>
        <w:rPr>
          <w:sz w:val="20"/>
          <w:szCs w:val="20"/>
          <w:color w:val="auto"/>
        </w:rPr>
      </w:pPr>
    </w:p>
    <w:p>
      <w:pPr>
        <w:ind w:right="440" w:firstLine="436"/>
        <w:spacing w:after="0" w:line="277"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originals and the conformity to authentic original documents of all documents submitted to us as copies.</w:t>
      </w:r>
    </w:p>
    <w:p>
      <w:pPr>
        <w:spacing w:after="0" w:line="163"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have been duly registered on the books of the transfer agent and registrar therefor in the name or on behalf of the recipients thereof, and when the Shares have been issued by the Company in the circumstances contemplated by the 2026 Inducement Plan for legal consideration in excess of par value, assuming that the individual grants or awards under the 2026 Inducement Plan are duly authorized by all necessary corporate action and duly granted or awarded and exercised in accordance with the requirements of law and the 2026 Inducement Plan (and the agreements and awards duly adopted thereunder and in accordance therewith),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ectPr>
          <w:pgSz w:w="11900" w:h="16838" w:orient="portrait"/>
          <w:cols w:equalWidth="0" w:num="1">
            <w:col w:w="10900"/>
          </w:cols>
          <w:pgMar w:left="50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7,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374140" cy="10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374140" cy="101600"/>
                    </a:xfrm>
                    <a:prstGeom prst="rect">
                      <a:avLst/>
                    </a:prstGeom>
                    <a:noFill/>
                  </pic:spPr>
                </pic:pic>
              </a:graphicData>
            </a:graphic>
          </wp:anchor>
        </w:drawing>
      </w:r>
    </w:p>
    <w:p>
      <w:pPr>
        <w:spacing w:after="0" w:line="395"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860"/>
          </w:cols>
          <w:pgMar w:left="500" w:top="264"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1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April 8, 2026, relating to the financial statements of Beyond Meat, Inc. and the effectiveness of Beyond Meat, Inc.’s internal control over financial reporting, appearing in the Annual Report on Form 10-K of Beyond Meat, Inc.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780"/>
        <w:spacing w:after="0"/>
        <w:rPr>
          <w:sz w:val="20"/>
          <w:szCs w:val="20"/>
          <w:color w:val="auto"/>
        </w:rPr>
      </w:pPr>
      <w:r>
        <w:rPr>
          <w:rFonts w:ascii="Arial" w:cs="Arial" w:eastAsia="Arial" w:hAnsi="Arial"/>
          <w:sz w:val="36"/>
          <w:szCs w:val="36"/>
          <w:b w:val="1"/>
          <w:bCs w:val="1"/>
          <w:color w:val="auto"/>
        </w:rPr>
        <w:t>BEYOND MEAT,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10,000,000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$ 0.9355</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$ 9,355,000.00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$ 1,291.93</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$ 9,355,000.00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$ 1,291.93</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$ 1,291.93</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40" w:hanging="225"/>
        <w:spacing w:after="0" w:line="236" w:lineRule="auto"/>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Pursuant to Rule 416(a) promulgated under the Securities Act of 1933, as amended (the "Securities Act"), this Registration Statement shall also cover any additional shares of the registrant's common stock, par value $0.0001 per share (the "Common Stock") that become issuable under the Beyond Meat, Inc. 2026 Employment Inducement Equity Incentive Plan (the "2026 Inducement Plan") by reason of any stock dividend, stock split, recapitalization, or other similar transaction effected that results in an increase to the number of outstanding shares of Common Stock. In addition, pursuant to Rule 416(c) under the Securities Act, this Registration Statement also covers an indeterminate amount of interests to be offered or sold pursuant to the 2026 Inducement Plan. Amount Registered consists of 10,000,000 shares of Common Stock that may become issuable under the 2026 Inducement Plan pursuant to its terms. Proposed Maximum Offering Price Per Unit is estimated in accordance with Rule 457(c) and Rule 457(h) promulgated under the Securities Act solely for the purpose of calculating the registration fee and based upon the average of the high and low prices of the Common Stock as reported on The Nasdaq Stock Market LLC on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1)"/>
      <w:numFmt w:val="decimal"/>
      <w:start w:val="1"/>
    </w:lvl>
    <w:lvl w:ilvl="1">
      <w:lvlJc w:val="left"/>
      <w:lvlText w:val="(%2)"/>
      <w:numFmt w:val="lowerRoman"/>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8"/>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jpe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png"/><Relationship Id="rId45" Type="http://schemas.openxmlformats.org/officeDocument/2006/relationships/image" Target="media/image21.png"/><Relationship Id="rId19" Type="http://schemas.openxmlformats.org/officeDocument/2006/relationships/hyperlink" Target="http://www.sec.gov/ix?doc=/Archives/edgar/data/0001655210/000165521026000022/bynd-20251231.htm" TargetMode="External"/><Relationship Id="rId20" Type="http://schemas.openxmlformats.org/officeDocument/2006/relationships/hyperlink" Target="http://www.sec.gov/ix?doc=/Archives/edgar/data/1655210/000165521026000037/bynd-20260328.htm" TargetMode="External"/><Relationship Id="rId21" Type="http://schemas.openxmlformats.org/officeDocument/2006/relationships/hyperlink" Target="http://www.sec.gov/ix?doc=/Archives/edgar/data/0001655210/000119312526150400/d143614ddef14a.htm" TargetMode="External"/><Relationship Id="rId22" Type="http://schemas.openxmlformats.org/officeDocument/2006/relationships/hyperlink" Target="http://www.sec.gov/ix?doc=/Archives/edgar/data/1655210/000165521026000003/bynd-20251229.htm" TargetMode="External"/><Relationship Id="rId23" Type="http://schemas.openxmlformats.org/officeDocument/2006/relationships/hyperlink" Target="http://www.sec.gov/ix?doc=/Archives/edgar/data/1655210/000119312526010677/d56021d8k.htm" TargetMode="External"/><Relationship Id="rId24" Type="http://schemas.openxmlformats.org/officeDocument/2006/relationships/hyperlink" Target="http://www.sec.gov/ix?doc=/Archives/edgar/data/1655210/000165521026000006/bynd-20260304.htm" TargetMode="External"/><Relationship Id="rId25" Type="http://schemas.openxmlformats.org/officeDocument/2006/relationships/hyperlink" Target="http://www.sec.gov/ix?doc=/Archives/edgar/data/0001655210/000165521026000018/bynd-20260328.htm" TargetMode="External"/><Relationship Id="rId26" Type="http://schemas.openxmlformats.org/officeDocument/2006/relationships/hyperlink" Target="http://www.sec.gov/ix?doc=/Archives/edgar/data/0001655210/000165521026000025/bynd-20260406.htm" TargetMode="External"/><Relationship Id="rId27" Type="http://schemas.openxmlformats.org/officeDocument/2006/relationships/hyperlink" Target="http://www.sec.gov/ix?doc=/Archives/edgar/data/0001655210/000165521026000029/bynd-20260420.htm" TargetMode="External"/><Relationship Id="rId28" Type="http://schemas.openxmlformats.org/officeDocument/2006/relationships/hyperlink" Target="http://www.sec.gov/Archives/edgar/data/1655210/000165521026000022/ex43descriptionoftheregist.htm" TargetMode="External"/><Relationship Id="rId29" Type="http://schemas.openxmlformats.org/officeDocument/2006/relationships/hyperlink" Target="http://www.sec.gov/Archives/edgar/data/1655210/000162828019004604/beyondmeat8-a12b.htm" TargetMode="External"/><Relationship Id="rId33" Type="http://schemas.openxmlformats.org/officeDocument/2006/relationships/hyperlink" Target="http://www.sec.gov/Archives/edgar/data/1655210/000165521019000053/byndarcert_incorpex-31.htm" TargetMode="External"/><Relationship Id="rId34" Type="http://schemas.openxmlformats.org/officeDocument/2006/relationships/hyperlink" Target="http://www.sec.gov/Archives/edgar/data/1655210/000165521024000013/ex31amendedandrestatedby.htm" TargetMode="External"/><Relationship Id="rId35" Type="http://schemas.openxmlformats.org/officeDocument/2006/relationships/hyperlink" Target="http://www.sec.gov/Archives/edgar/data/1655210/000162828019003500/exhibit41-sx1a3.htm" TargetMode="External"/><Relationship Id="rId36" Type="http://schemas.openxmlformats.org/officeDocument/2006/relationships/hyperlink" Target="http://www.sec.gov/Archives/edgar/data/1655210/000165521026000018/ex102beyondmeatinc2026empl.htm" TargetMode="External"/><Relationship Id="rId37" Type="http://schemas.openxmlformats.org/officeDocument/2006/relationships/hyperlink" Target="http://www.sec.gov/Archives/edgar/data/1655210/000165521026000018/ex103formofbeyondmeatinc20.htm" TargetMode="External"/><Relationship Id="rId38" Type="http://schemas.openxmlformats.org/officeDocument/2006/relationships/hyperlink" Target="http://www.sec.gov/Archives/edgar/data/1655210/000165521026000018/ex104formofbeyondmeatinc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2026-05-07T16:30:56Z</dcterms:created>
  <dcterms:modified xsi:type="dcterms:W3CDTF">2026-05-07T16:30:56Z</dcterms:modified>
</cp:coreProperties>
</file>